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B5AA" w14:textId="426FF82E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267150" w:rsidRPr="00267150">
        <w:rPr>
          <w:rtl/>
        </w:rPr>
        <w:t>بررس</w:t>
      </w:r>
      <w:r w:rsidR="00267150" w:rsidRPr="00267150">
        <w:rPr>
          <w:rFonts w:hint="cs"/>
          <w:rtl/>
        </w:rPr>
        <w:t>ی</w:t>
      </w:r>
      <w:r w:rsidR="00267150" w:rsidRPr="00267150">
        <w:rPr>
          <w:rtl/>
        </w:rPr>
        <w:t xml:space="preserve"> چگونگ</w:t>
      </w:r>
      <w:r w:rsidR="00267150" w:rsidRPr="00267150">
        <w:rPr>
          <w:rFonts w:hint="cs"/>
          <w:rtl/>
        </w:rPr>
        <w:t>ی</w:t>
      </w:r>
      <w:r w:rsidR="00267150" w:rsidRPr="00267150">
        <w:rPr>
          <w:rtl/>
        </w:rPr>
        <w:t xml:space="preserve"> تاث</w:t>
      </w:r>
      <w:r w:rsidR="00267150" w:rsidRPr="00267150">
        <w:rPr>
          <w:rFonts w:hint="cs"/>
          <w:rtl/>
        </w:rPr>
        <w:t>ی</w:t>
      </w:r>
      <w:r w:rsidR="00267150" w:rsidRPr="00267150">
        <w:rPr>
          <w:rFonts w:hint="eastAsia"/>
          <w:rtl/>
        </w:rPr>
        <w:t>ر</w:t>
      </w:r>
      <w:r w:rsidR="00267150" w:rsidRPr="00267150">
        <w:rPr>
          <w:rtl/>
        </w:rPr>
        <w:t xml:space="preserve"> </w:t>
      </w:r>
      <w:r w:rsidR="00267150" w:rsidRPr="00267150">
        <w:t>lncRNA</w:t>
      </w:r>
      <w:r w:rsidR="00267150" w:rsidRPr="00267150">
        <w:rPr>
          <w:rtl/>
        </w:rPr>
        <w:t xml:space="preserve"> ها بر قطب</w:t>
      </w:r>
      <w:r w:rsidR="00267150" w:rsidRPr="00267150">
        <w:rPr>
          <w:rFonts w:hint="cs"/>
          <w:rtl/>
        </w:rPr>
        <w:t>ی</w:t>
      </w:r>
      <w:r w:rsidR="00267150" w:rsidRPr="00267150">
        <w:rPr>
          <w:rFonts w:hint="eastAsia"/>
          <w:rtl/>
        </w:rPr>
        <w:t>دگ</w:t>
      </w:r>
      <w:r w:rsidR="00267150" w:rsidRPr="00267150">
        <w:rPr>
          <w:rFonts w:hint="cs"/>
          <w:rtl/>
        </w:rPr>
        <w:t>ی</w:t>
      </w:r>
      <w:r w:rsidR="00267150" w:rsidRPr="00267150">
        <w:rPr>
          <w:rtl/>
        </w:rPr>
        <w:t xml:space="preserve"> ماکروفاژ در سرطان هپاتوسلولار کارس</w:t>
      </w:r>
      <w:r w:rsidR="00267150" w:rsidRPr="00267150">
        <w:rPr>
          <w:rFonts w:hint="cs"/>
          <w:rtl/>
        </w:rPr>
        <w:t>ی</w:t>
      </w:r>
      <w:r w:rsidR="00267150" w:rsidRPr="00267150">
        <w:rPr>
          <w:rFonts w:hint="eastAsia"/>
          <w:rtl/>
        </w:rPr>
        <w:t>نوما</w:t>
      </w:r>
    </w:p>
    <w:p w14:paraId="768746D1" w14:textId="3B053696" w:rsidR="002F3851" w:rsidRPr="00267150" w:rsidRDefault="002F3851" w:rsidP="002F3851">
      <w:pPr>
        <w:bidi/>
        <w:rPr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267150">
        <w:rPr>
          <w:rFonts w:hint="cs"/>
          <w:b/>
          <w:bCs/>
          <w:rtl/>
          <w:lang w:bidi="fa-IR"/>
        </w:rPr>
        <w:t xml:space="preserve"> </w:t>
      </w:r>
      <w:r w:rsidR="00267150">
        <w:rPr>
          <w:rFonts w:hint="cs"/>
          <w:rtl/>
          <w:lang w:bidi="fa-IR"/>
        </w:rPr>
        <w:t>10/03/1404</w:t>
      </w:r>
      <w:bookmarkStart w:id="0" w:name="_GoBack"/>
      <w:bookmarkEnd w:id="0"/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3BF2F0A" w14:textId="77777777" w:rsidR="00267150" w:rsidRPr="00267150" w:rsidRDefault="00267150" w:rsidP="00267150">
      <w:pPr>
        <w:bidi/>
        <w:rPr>
          <w:rtl/>
        </w:rPr>
      </w:pPr>
      <w:r w:rsidRPr="00267150">
        <w:rPr>
          <w:rtl/>
        </w:rPr>
        <w:t>احمد قربان</w:t>
      </w:r>
      <w:r w:rsidRPr="00267150">
        <w:rPr>
          <w:rFonts w:hint="cs"/>
          <w:rtl/>
        </w:rPr>
        <w:t>ی</w:t>
      </w:r>
      <w:r w:rsidRPr="00267150">
        <w:rPr>
          <w:rtl/>
        </w:rPr>
        <w:t xml:space="preserve"> ونن</w:t>
      </w:r>
    </w:p>
    <w:p w14:paraId="680B2E4E" w14:textId="287C3E65" w:rsidR="00267150" w:rsidRPr="00267150" w:rsidRDefault="00267150" w:rsidP="00267150">
      <w:r w:rsidRPr="00267150">
        <w:t xml:space="preserve"> (Student Research Committee, Department of Immunology, School of Medicine, Shahid Beheshti University of Medical Sciences, Tehran, Iran; Cancer Immunology and Immunotherapy Research Center, Ardabil University of Medical Sciences, Ardabil, Iran)</w:t>
      </w:r>
    </w:p>
    <w:p w14:paraId="41725F2A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محمد</w:t>
      </w:r>
      <w:r w:rsidRPr="00267150">
        <w:rPr>
          <w:rtl/>
        </w:rPr>
        <w:t xml:space="preserve"> طاها نام</w:t>
      </w:r>
      <w:r w:rsidRPr="00267150">
        <w:rPr>
          <w:rFonts w:hint="cs"/>
          <w:rtl/>
        </w:rPr>
        <w:t>ی</w:t>
      </w:r>
    </w:p>
    <w:p w14:paraId="609A91F1" w14:textId="5BB9AA1E" w:rsidR="00267150" w:rsidRPr="00267150" w:rsidRDefault="00267150" w:rsidP="00267150">
      <w:pPr>
        <w:rPr>
          <w:rtl/>
        </w:rPr>
      </w:pPr>
      <w:r w:rsidRPr="00267150">
        <w:t xml:space="preserve"> (Faculty of Life Science and Biotechnology, Shahid Beheshti University, Tehran, Iran)</w:t>
      </w:r>
    </w:p>
    <w:p w14:paraId="20FC14A1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فر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د</w:t>
      </w:r>
      <w:r w:rsidRPr="00267150">
        <w:rPr>
          <w:rtl/>
        </w:rPr>
        <w:t xml:space="preserve"> قربان</w:t>
      </w:r>
      <w:r w:rsidRPr="00267150">
        <w:rPr>
          <w:rFonts w:hint="cs"/>
          <w:rtl/>
        </w:rPr>
        <w:t>ی‌</w:t>
      </w:r>
      <w:r w:rsidRPr="00267150">
        <w:rPr>
          <w:rFonts w:hint="eastAsia"/>
          <w:rtl/>
        </w:rPr>
        <w:t>نژاد</w:t>
      </w:r>
    </w:p>
    <w:p w14:paraId="686B05CE" w14:textId="01B01B6A" w:rsidR="00267150" w:rsidRPr="00267150" w:rsidRDefault="00267150" w:rsidP="00267150">
      <w:r w:rsidRPr="00267150">
        <w:t xml:space="preserve"> (Student Research Committee, Department of Immunology, School of Medicine, Shahid Beheshti University of Medical Sciences, Tehran, Iran; Cancer Immunology and Immunotherapy Research Center, Ardabil University of Medical Sciences, Ardabil, Iran)</w:t>
      </w:r>
    </w:p>
    <w:p w14:paraId="5C186A74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پو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ا</w:t>
      </w:r>
      <w:r w:rsidRPr="00267150">
        <w:rPr>
          <w:rtl/>
        </w:rPr>
        <w:t xml:space="preserve"> ع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ن</w:t>
      </w:r>
      <w:r w:rsidRPr="00267150">
        <w:rPr>
          <w:rFonts w:hint="cs"/>
          <w:rtl/>
        </w:rPr>
        <w:t>ی</w:t>
      </w:r>
    </w:p>
    <w:p w14:paraId="3457DDC2" w14:textId="2FB8BFC8" w:rsidR="00267150" w:rsidRPr="00267150" w:rsidRDefault="00267150" w:rsidP="00267150">
      <w:pPr>
        <w:rPr>
          <w:rtl/>
        </w:rPr>
      </w:pPr>
      <w:r w:rsidRPr="00267150">
        <w:t xml:space="preserve"> (Toxicological Research Center, Shahid Beheshti University of Medical Sciences, Tehran, Iran)</w:t>
      </w:r>
    </w:p>
    <w:p w14:paraId="5DA22BC1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کام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ار</w:t>
      </w:r>
      <w:r w:rsidRPr="00267150">
        <w:rPr>
          <w:rtl/>
        </w:rPr>
        <w:t xml:space="preserve"> باقر</w:t>
      </w:r>
      <w:r w:rsidRPr="00267150">
        <w:rPr>
          <w:rFonts w:hint="cs"/>
          <w:rtl/>
        </w:rPr>
        <w:t>ی</w:t>
      </w:r>
    </w:p>
    <w:p w14:paraId="0A594EEF" w14:textId="31756B9F" w:rsidR="00267150" w:rsidRPr="00267150" w:rsidRDefault="00267150" w:rsidP="00267150">
      <w:pPr>
        <w:rPr>
          <w:rtl/>
        </w:rPr>
      </w:pPr>
      <w:r w:rsidRPr="00267150">
        <w:t xml:space="preserve"> (Student Research Committee, Abadan University of Medical Sciences, Abadan, Iran)</w:t>
      </w:r>
    </w:p>
    <w:p w14:paraId="1F35CB77" w14:textId="77777777" w:rsidR="00267150" w:rsidRPr="00267150" w:rsidRDefault="00267150" w:rsidP="00267150">
      <w:pPr>
        <w:rPr>
          <w:rtl/>
        </w:rPr>
      </w:pPr>
    </w:p>
    <w:p w14:paraId="00AE8ACF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مر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م</w:t>
      </w:r>
      <w:r w:rsidRPr="00267150">
        <w:rPr>
          <w:rtl/>
        </w:rPr>
        <w:t xml:space="preserve"> محمدلو</w:t>
      </w:r>
    </w:p>
    <w:p w14:paraId="6DCB6740" w14:textId="430FC4B9" w:rsidR="00267150" w:rsidRPr="00267150" w:rsidRDefault="00267150" w:rsidP="00267150">
      <w:pPr>
        <w:rPr>
          <w:rtl/>
        </w:rPr>
      </w:pPr>
      <w:r w:rsidRPr="00267150">
        <w:t xml:space="preserve"> (Department of Immunology, School of Medicine, </w:t>
      </w:r>
      <w:proofErr w:type="spellStart"/>
      <w:r w:rsidRPr="00267150">
        <w:t>Semnan</w:t>
      </w:r>
      <w:proofErr w:type="spellEnd"/>
      <w:r w:rsidRPr="00267150">
        <w:t xml:space="preserve"> University of Medical Sciences, </w:t>
      </w:r>
      <w:proofErr w:type="spellStart"/>
      <w:r w:rsidRPr="00267150">
        <w:t>Semnan</w:t>
      </w:r>
      <w:proofErr w:type="spellEnd"/>
      <w:r w:rsidRPr="00267150">
        <w:t>, Iran)</w:t>
      </w:r>
    </w:p>
    <w:p w14:paraId="77603B17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فاطمه</w:t>
      </w:r>
      <w:r w:rsidRPr="00267150">
        <w:rPr>
          <w:rtl/>
        </w:rPr>
        <w:t xml:space="preserve"> محمد</w:t>
      </w:r>
      <w:r w:rsidRPr="00267150">
        <w:rPr>
          <w:rFonts w:hint="cs"/>
          <w:rtl/>
        </w:rPr>
        <w:t>ی</w:t>
      </w:r>
    </w:p>
    <w:p w14:paraId="01379F09" w14:textId="41C7E59B" w:rsidR="00267150" w:rsidRPr="00267150" w:rsidRDefault="00267150" w:rsidP="00267150">
      <w:pPr>
        <w:rPr>
          <w:rtl/>
        </w:rPr>
      </w:pPr>
      <w:r w:rsidRPr="00267150">
        <w:t xml:space="preserve"> (Faculty of Medicine, Islamic Azad University, Tehran, Iran)</w:t>
      </w:r>
    </w:p>
    <w:p w14:paraId="4DDCCF5F" w14:textId="77777777" w:rsidR="00267150" w:rsidRPr="00267150" w:rsidRDefault="00267150" w:rsidP="00267150">
      <w:pPr>
        <w:rPr>
          <w:rtl/>
        </w:rPr>
      </w:pPr>
    </w:p>
    <w:p w14:paraId="2CC035B7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صفا</w:t>
      </w:r>
      <w:r w:rsidRPr="00267150">
        <w:rPr>
          <w:rtl/>
        </w:rPr>
        <w:t xml:space="preserve"> طهماسب</w:t>
      </w:r>
      <w:r w:rsidRPr="00267150">
        <w:rPr>
          <w:rFonts w:hint="cs"/>
          <w:rtl/>
        </w:rPr>
        <w:t>ی</w:t>
      </w:r>
    </w:p>
    <w:p w14:paraId="2B0C44B5" w14:textId="64D96F1E" w:rsidR="00267150" w:rsidRPr="00267150" w:rsidRDefault="00267150" w:rsidP="00267150">
      <w:pPr>
        <w:rPr>
          <w:rtl/>
        </w:rPr>
      </w:pPr>
      <w:r w:rsidRPr="00267150">
        <w:lastRenderedPageBreak/>
        <w:t xml:space="preserve"> (Cancer Immunology and Immunotherapy Research Center, Ardabil University of Medical Sciences, Ardabil, Iran; </w:t>
      </w:r>
      <w:r w:rsidRPr="00267150">
        <w:rPr>
          <w:rtl/>
        </w:rPr>
        <w:t>ا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م</w:t>
      </w:r>
      <w:r w:rsidRPr="00267150">
        <w:rPr>
          <w:rFonts w:hint="cs"/>
          <w:rtl/>
        </w:rPr>
        <w:t>ی</w:t>
      </w:r>
      <w:r w:rsidRPr="00267150">
        <w:rPr>
          <w:rFonts w:hint="eastAsia"/>
          <w:rtl/>
        </w:rPr>
        <w:t>ل</w:t>
      </w:r>
      <w:r w:rsidRPr="00267150">
        <w:t>: safa.tahmasebi@sbmu.ac.ir)</w:t>
      </w:r>
    </w:p>
    <w:p w14:paraId="0488B03D" w14:textId="77777777" w:rsidR="00267150" w:rsidRPr="00267150" w:rsidRDefault="00267150" w:rsidP="00267150">
      <w:pPr>
        <w:bidi/>
        <w:rPr>
          <w:rtl/>
        </w:rPr>
      </w:pPr>
      <w:r w:rsidRPr="00267150">
        <w:rPr>
          <w:rFonts w:hint="eastAsia"/>
          <w:rtl/>
        </w:rPr>
        <w:t>الهام</w:t>
      </w:r>
      <w:r w:rsidRPr="00267150">
        <w:rPr>
          <w:rtl/>
        </w:rPr>
        <w:t xml:space="preserve"> صفرزاده </w:t>
      </w:r>
    </w:p>
    <w:p w14:paraId="2891E666" w14:textId="4D637184" w:rsidR="009E4F82" w:rsidRPr="00267150" w:rsidRDefault="00267150" w:rsidP="00267150">
      <w:pPr>
        <w:rPr>
          <w:rtl/>
        </w:rPr>
      </w:pPr>
      <w:r w:rsidRPr="00267150">
        <w:rPr>
          <w:rFonts w:hint="cs"/>
          <w:rtl/>
        </w:rPr>
        <w:t>)</w:t>
      </w:r>
      <w:r w:rsidRPr="00267150">
        <w:t xml:space="preserve"> </w:t>
      </w:r>
      <w:r w:rsidRPr="00267150">
        <w:t>Cancer Immunology and Immunotherapy Research Center, Ardabil University of Medical Sciences, Ardabil, Iran</w:t>
      </w:r>
      <w:r w:rsidRPr="00267150">
        <w:t xml:space="preserve">; </w:t>
      </w:r>
      <w:r w:rsidRPr="00267150">
        <w:t>Department of Microbiology, Parasitology, and Immunology, Ardabil University of Medical Sciences, Ardabil, Iran</w:t>
      </w:r>
      <w:r w:rsidRPr="00267150">
        <w:rPr>
          <w:rFonts w:hint="cs"/>
          <w:rtl/>
        </w:rPr>
        <w:t>(</w:t>
      </w:r>
    </w:p>
    <w:p w14:paraId="72F5008F" w14:textId="058EF8A6" w:rsidR="002F3851" w:rsidRDefault="00267150" w:rsidP="0026715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3669CA05" w:rsidR="00F95520" w:rsidRPr="000D10D5" w:rsidRDefault="00267150" w:rsidP="00F95520">
      <w:pPr>
        <w:bidi/>
        <w:jc w:val="both"/>
        <w:rPr>
          <w:rtl/>
        </w:rPr>
      </w:pPr>
      <w:r>
        <w:t xml:space="preserve"> </w:t>
      </w:r>
      <w:proofErr w:type="gramStart"/>
      <w:r>
        <w:t>lncRNA</w:t>
      </w:r>
      <w:r>
        <w:rPr>
          <w:rtl/>
        </w:rPr>
        <w:t>ها</w:t>
      </w:r>
      <w:proofErr w:type="gramEnd"/>
      <w:r>
        <w:rPr>
          <w:rtl/>
        </w:rPr>
        <w:t xml:space="preserve"> و پولاریزاسیون ماکروفاژها: اهداف نوین تشخیصی و درمانی در سرطان هپاتوسلولار</w:t>
      </w:r>
    </w:p>
    <w:p w14:paraId="5DADDD3C" w14:textId="58E5B06D" w:rsidR="000D10D5" w:rsidRDefault="000D10D5" w:rsidP="0026715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02D7B8AC" w14:textId="457B4EF2" w:rsidR="00F95520" w:rsidRPr="00267150" w:rsidRDefault="00267150" w:rsidP="00267150">
      <w:pPr>
        <w:bidi/>
        <w:rPr>
          <w:b/>
          <w:bCs/>
          <w:rtl/>
        </w:rPr>
      </w:pPr>
      <w:r>
        <w:rPr>
          <w:rtl/>
        </w:rPr>
        <w:t>مطالعه حاضر نشان می‌دهد</w:t>
      </w:r>
      <w:r>
        <w:t xml:space="preserve"> lncRNA</w:t>
      </w:r>
      <w:r>
        <w:rPr>
          <w:rtl/>
        </w:rPr>
        <w:t>ها با تنظیم پولاریزاسیون ماکروفاژها نقش کلیدی در پیشرفت و متاستاز سرطان هپاتوسلولار ایفا می‌کنند. تشخیص و هدف‌گیری این مولکول‌ها می‌تواند به عنوان ابزارهای تشخیصی و درمانی نوین برای بهبود پیش‌آگهی بیماران و مهار پیشرفت تومور مورد استفاده قرار گیرد</w:t>
      </w:r>
    </w:p>
    <w:p w14:paraId="3C2367C8" w14:textId="79B0811E" w:rsidR="002F3851" w:rsidRDefault="00537C8C" w:rsidP="00537C8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پژوهشی:</w:t>
      </w:r>
    </w:p>
    <w:p w14:paraId="79CF7F51" w14:textId="77777777" w:rsidR="00267150" w:rsidRDefault="00267150" w:rsidP="00267150">
      <w:pPr>
        <w:bidi/>
        <w:jc w:val="both"/>
      </w:pPr>
      <w:r>
        <w:rPr>
          <w:rtl/>
        </w:rPr>
        <w:t>سرطان هپاتوسلولار یکی از شایع‌ترین و کشنده‌ترین سرطان‌های جهان است که با نرخ بالای عود و متاستاز همراه است. درک دقیق مکانیسم‌های مولکولی دخیل در پیشرفت این سرطان برای شناسایی اهداف درمانی جدید و بهبود نتایج بالینی ضروری است</w:t>
      </w:r>
      <w:r>
        <w:t>.</w:t>
      </w:r>
    </w:p>
    <w:p w14:paraId="3442EC99" w14:textId="28544A74" w:rsidR="00F95520" w:rsidRPr="005D14DC" w:rsidRDefault="00267150" w:rsidP="00267150">
      <w:pPr>
        <w:bidi/>
        <w:jc w:val="both"/>
        <w:rPr>
          <w:color w:val="FF0000"/>
        </w:rPr>
      </w:pPr>
      <w:r>
        <w:rPr>
          <w:rtl/>
        </w:rPr>
        <w:t>این مطالعه نشان داد که</w:t>
      </w:r>
      <w:r>
        <w:t xml:space="preserve"> lncRNA</w:t>
      </w:r>
      <w:r>
        <w:rPr>
          <w:rtl/>
        </w:rPr>
        <w:t>های خاص مانند</w:t>
      </w:r>
      <w:r>
        <w:t xml:space="preserve"> HULC </w:t>
      </w:r>
      <w:r>
        <w:rPr>
          <w:rtl/>
        </w:rPr>
        <w:t>و</w:t>
      </w:r>
      <w:r>
        <w:t xml:space="preserve"> MALAT1 </w:t>
      </w:r>
      <w:r>
        <w:rPr>
          <w:rtl/>
        </w:rPr>
        <w:t>با تنظیم پولاریزاسیون ماکروفاژها به سمت فنوتیپ</w:t>
      </w:r>
      <w:r>
        <w:t xml:space="preserve"> M2</w:t>
      </w:r>
      <w:r>
        <w:rPr>
          <w:rtl/>
        </w:rPr>
        <w:t>، موجب تقویت محیط توموری و پیشرفت سرطان می‌شوند. شناسایی این</w:t>
      </w:r>
      <w:r>
        <w:t xml:space="preserve"> lncRNA</w:t>
      </w:r>
      <w:r>
        <w:rPr>
          <w:rtl/>
        </w:rPr>
        <w:t>ها در نمونه‌های بیماران می‌تواند به تشخیص زودهنگام و پیش‌بینی پیش‌آگهی بیماری کمک کند و همچنین اهداف درمانی جدیدی را معرفی نماید</w:t>
      </w:r>
      <w:r>
        <w:rPr>
          <w:rStyle w:val="whitespace-nowrap"/>
        </w:rPr>
        <w:t>.</w:t>
      </w:r>
    </w:p>
    <w:p w14:paraId="0DB92006" w14:textId="2E6E9B27" w:rsidR="00F95520" w:rsidRDefault="00267150" w:rsidP="00267150">
      <w:pPr>
        <w:bidi/>
        <w:jc w:val="both"/>
        <w:rPr>
          <w:b/>
          <w:bCs/>
          <w:rtl/>
        </w:rPr>
      </w:pPr>
      <w:r>
        <w:rPr>
          <w:rtl/>
        </w:rPr>
        <w:t xml:space="preserve">نتایج این طرح می‌تواند به توسعه تست‌های تشخیصی غیرتهاجمی برای شناسایی </w:t>
      </w:r>
      <w:r>
        <w:t>lncRNA</w:t>
      </w:r>
      <w:r>
        <w:rPr>
          <w:rtl/>
        </w:rPr>
        <w:t xml:space="preserve">های مرتبط با سرطان هپاتوسلولار منجر شود. همچنین، هدف‌گیری </w:t>
      </w:r>
      <w:r>
        <w:t>lncRNA</w:t>
      </w:r>
      <w:r>
        <w:rPr>
          <w:rtl/>
        </w:rPr>
        <w:t>های کلیدی می‌تواند به عنوان رویکرد درمانی نوین جهت مهار پولاریزاسیون ماکروفاژها و تضعیف پاسخ‌های ایمنی سرکوب‌گر در محیط توموری استفاده شود. این استراتژی‌ها می‌توانند به بهبود پیش‌آگهی و کاهش نرخ عود و متاستاز بیماران کمک کنند</w:t>
      </w:r>
      <w:r>
        <w:rPr>
          <w:rStyle w:val="whitespace-nowrap"/>
        </w:rPr>
        <w:t>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1B78B2EA" w14:textId="77777777" w:rsidR="00235DFF" w:rsidRDefault="00235DFF" w:rsidP="00A2206A">
      <w:pPr>
        <w:bidi/>
      </w:pPr>
      <w:r>
        <w:rPr>
          <w:rtl/>
        </w:rPr>
        <w:t>تأثیر 1: ایجاد ابزارهای تشخیصی مبتنی بر شناسایی</w:t>
      </w:r>
      <w:r>
        <w:t xml:space="preserve"> lncRNA</w:t>
      </w:r>
      <w:r>
        <w:rPr>
          <w:rtl/>
        </w:rPr>
        <w:t>ها در نمونه‌های بیماران</w:t>
      </w:r>
      <w:r>
        <w:rPr>
          <w:rtl/>
        </w:rPr>
        <w:t xml:space="preserve"> </w:t>
      </w:r>
    </w:p>
    <w:p w14:paraId="7649F456" w14:textId="00747AA0" w:rsidR="00A2206A" w:rsidRDefault="00235DFF" w:rsidP="00235DFF">
      <w:pPr>
        <w:bidi/>
        <w:rPr>
          <w:b/>
          <w:bCs/>
        </w:rPr>
      </w:pPr>
      <w:r>
        <w:rPr>
          <w:rtl/>
        </w:rPr>
        <w:t>تأثیر 2: توسعه درمان‌های هدفمند جدید بر پایه مهار</w:t>
      </w:r>
      <w:r>
        <w:t xml:space="preserve"> lncRNA</w:t>
      </w:r>
      <w:r>
        <w:rPr>
          <w:rtl/>
        </w:rPr>
        <w:t>ها و تغییر پولاریزاسیون ماکروفاژها برای تقویت پاسخ ایمنی ضدتوموری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353C6AE5" w14:textId="234BEA29" w:rsidR="00A2206A" w:rsidRPr="00A2206A" w:rsidRDefault="00235DFF" w:rsidP="00A2206A">
      <w:pPr>
        <w:bidi/>
        <w:rPr>
          <w:b/>
          <w:bCs/>
        </w:rPr>
      </w:pPr>
      <w:r>
        <w:rPr>
          <w:rtl/>
        </w:rPr>
        <w:t>بیشتر شواهد مبتنی بر مطالعات پیش‌بالینی و مدل‌های حیوانی است و داده‌های بالینی مستقیم هنوز محدود است. همچنین، پیچیدگی تعاملات مولکولی و تفاوت‌های فردی بیماران می‌تواند بر تعمیم نتایج تأثیر بگذارد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B344972" w:rsidR="00F95520" w:rsidRDefault="00235DFF" w:rsidP="000F3D7B">
      <w:pPr>
        <w:bidi/>
        <w:jc w:val="both"/>
        <w:rPr>
          <w:b/>
          <w:bCs/>
          <w:rtl/>
        </w:rPr>
      </w:pPr>
      <w:r>
        <w:rPr>
          <w:rtl/>
        </w:rPr>
        <w:t>پزشکان، پژوهشگران حوزه سرطان، ایمونولوژیست‌ها، متخصصان ژنتیک، سیاست‌گذاران سلامت و شرکت‌های دارویی</w:t>
      </w:r>
      <w:r>
        <w:t>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2B7E7344" w:rsidR="00F95520" w:rsidRDefault="00235DFF" w:rsidP="00F95520">
      <w:pPr>
        <w:bidi/>
        <w:jc w:val="both"/>
        <w:rPr>
          <w:b/>
          <w:bCs/>
          <w:rtl/>
        </w:rPr>
      </w:pPr>
      <w:r>
        <w:rPr>
          <w:rtl/>
        </w:rPr>
        <w:t>این یافته‌ها عمدتاً تبعات مثبت بهداشتی و اجتماعی دارند و می‌توانند منجر به بهبود سلامت عمومی و کاهش مرگ‌ومیر ناشی از سرطان شوند. با توجه به ماهیت زیستی و درمانی موضوع، احتمال بروز تبعات منفی فرهنگی، دینی یا سیاسی پایین است. رعایت قوانین سازمان غذا و دارو برای توسعه تست‌ها و درمان‌های جدید ضروری خواهد بود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D7AD4D5" w:rsidR="00F95520" w:rsidRDefault="00537C8C" w:rsidP="00F95520">
      <w:pPr>
        <w:bidi/>
        <w:jc w:val="both"/>
        <w:rPr>
          <w:rtl/>
        </w:rPr>
      </w:pPr>
      <w:hyperlink r:id="rId8" w:history="1">
        <w:r w:rsidRPr="00935A31">
          <w:rPr>
            <w:rStyle w:val="Hyperlink"/>
          </w:rPr>
          <w:t>https://link.springer.com/article/10.1007/s10238-025-01711-1</w:t>
        </w:r>
      </w:hyperlink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94B25F" w14:textId="77777777" w:rsidR="00235DFF" w:rsidRDefault="00235DFF" w:rsidP="00235DFF">
      <w:pPr>
        <w:bidi/>
        <w:jc w:val="both"/>
      </w:pPr>
      <w:hyperlink r:id="rId9" w:tgtFrame="_blank" w:history="1">
        <w:r>
          <w:rPr>
            <w:rStyle w:val="Hyperlink"/>
          </w:rPr>
          <w:t>E.safarzadeh@arums.ac.ir</w:t>
        </w:r>
      </w:hyperlink>
    </w:p>
    <w:p w14:paraId="6DB536CC" w14:textId="7C8BCC09" w:rsidR="00F95520" w:rsidRPr="0097793B" w:rsidRDefault="00235DFF" w:rsidP="00235DFF">
      <w:pPr>
        <w:bidi/>
        <w:jc w:val="both"/>
        <w:rPr>
          <w:b/>
          <w:bCs/>
          <w:rtl/>
        </w:rPr>
      </w:pPr>
      <w:r>
        <w:t>09143583674</w:t>
      </w:r>
    </w:p>
    <w:p w14:paraId="28DE0EA6" w14:textId="44A26C6D" w:rsidR="002F3851" w:rsidRPr="0066027C" w:rsidRDefault="002F3851" w:rsidP="00235DFF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10DB6173" w14:textId="0C5CB50F" w:rsidR="00235DFF" w:rsidRDefault="00235DFF" w:rsidP="00235DFF">
      <w:pPr>
        <w:pStyle w:val="my-0"/>
        <w:numPr>
          <w:ilvl w:val="0"/>
          <w:numId w:val="12"/>
        </w:numPr>
      </w:pPr>
      <w:proofErr w:type="spellStart"/>
      <w:r>
        <w:t>Klingenberg</w:t>
      </w:r>
      <w:proofErr w:type="spellEnd"/>
      <w:r>
        <w:t xml:space="preserve"> M, Matsuda A, </w:t>
      </w:r>
      <w:proofErr w:type="spellStart"/>
      <w:r>
        <w:t>Diederichs</w:t>
      </w:r>
      <w:proofErr w:type="spellEnd"/>
      <w:r>
        <w:t xml:space="preserve"> S, Patel T. Non-coding RNA in hepatocellular carcinoma: Mechanisms, biomarkers and therapeutic targets. J </w:t>
      </w:r>
      <w:proofErr w:type="spellStart"/>
      <w:r>
        <w:t>Hepatol</w:t>
      </w:r>
      <w:proofErr w:type="spellEnd"/>
      <w:r>
        <w:t>. 2017</w:t>
      </w:r>
      <w:proofErr w:type="gramStart"/>
      <w:r>
        <w:t>;67</w:t>
      </w:r>
      <w:proofErr w:type="gramEnd"/>
      <w:r>
        <w:t>(3):603-618.</w:t>
      </w:r>
    </w:p>
    <w:p w14:paraId="4B363026" w14:textId="521D18AD" w:rsidR="00235DFF" w:rsidRDefault="00235DFF" w:rsidP="00235DFF">
      <w:pPr>
        <w:pStyle w:val="my-0"/>
        <w:numPr>
          <w:ilvl w:val="0"/>
          <w:numId w:val="12"/>
        </w:numPr>
      </w:pPr>
      <w:proofErr w:type="spellStart"/>
      <w:r>
        <w:t>Guo</w:t>
      </w:r>
      <w:proofErr w:type="spellEnd"/>
      <w:r>
        <w:t xml:space="preserve"> W, Liu S, Cheng Y, Lu L, Shi Q, Zhang H, et al. Role of tumor-associated macrophages in the progression and therapy of hepatocellular carcinoma. Cell </w:t>
      </w:r>
      <w:proofErr w:type="spellStart"/>
      <w:r>
        <w:t>Immunol</w:t>
      </w:r>
      <w:proofErr w:type="spellEnd"/>
      <w:r>
        <w:t>. 2021</w:t>
      </w:r>
      <w:proofErr w:type="gramStart"/>
      <w:r>
        <w:t>;361:104295</w:t>
      </w:r>
      <w:proofErr w:type="gramEnd"/>
      <w:r>
        <w:t>.</w:t>
      </w:r>
    </w:p>
    <w:p w14:paraId="78E2048F" w14:textId="41489251" w:rsidR="00235DFF" w:rsidRDefault="00235DFF" w:rsidP="00235DFF">
      <w:pPr>
        <w:pStyle w:val="my-0"/>
        <w:numPr>
          <w:ilvl w:val="0"/>
          <w:numId w:val="12"/>
        </w:numPr>
      </w:pPr>
      <w:r>
        <w:t xml:space="preserve">Zhang Y, Li Z, Gao C, Chen P, Chen J, Liu W, et al. Long non-coding RNAs in hepatocellular carcinoma: potential roles and clinical implications. Cancer </w:t>
      </w:r>
      <w:proofErr w:type="spellStart"/>
      <w:r>
        <w:t>Lett</w:t>
      </w:r>
      <w:proofErr w:type="spellEnd"/>
      <w:r>
        <w:t>. 2020</w:t>
      </w:r>
      <w:proofErr w:type="gramStart"/>
      <w:r>
        <w:t>;470:127</w:t>
      </w:r>
      <w:proofErr w:type="gramEnd"/>
      <w:r>
        <w:t>-135.</w:t>
      </w:r>
    </w:p>
    <w:p w14:paraId="11D5CB3A" w14:textId="182215BB" w:rsidR="00235DFF" w:rsidRDefault="00235DFF" w:rsidP="00235DFF">
      <w:pPr>
        <w:pStyle w:val="my-0"/>
        <w:numPr>
          <w:ilvl w:val="0"/>
          <w:numId w:val="12"/>
        </w:numPr>
      </w:pPr>
      <w:proofErr w:type="spellStart"/>
      <w:r>
        <w:t>Xiong</w:t>
      </w:r>
      <w:proofErr w:type="spellEnd"/>
      <w:r>
        <w:t xml:space="preserve"> X, </w:t>
      </w:r>
      <w:proofErr w:type="spellStart"/>
      <w:r>
        <w:t>Kuang</w:t>
      </w:r>
      <w:proofErr w:type="spellEnd"/>
      <w:r>
        <w:t xml:space="preserve"> H, Ansari S, Liu T, Gong J, Wang S, et al. Long noncoding RNAs: a new regulatory code in hepatocellular carcinoma. Front </w:t>
      </w:r>
      <w:proofErr w:type="spellStart"/>
      <w:r>
        <w:t>Oncol</w:t>
      </w:r>
      <w:proofErr w:type="spellEnd"/>
      <w:r>
        <w:t>. 2022;12:828144</w:t>
      </w:r>
    </w:p>
    <w:p w14:paraId="259B0797" w14:textId="6EA8546A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6D5C0" w14:textId="77777777" w:rsidR="00AC6D8C" w:rsidRDefault="00AC6D8C" w:rsidP="00AA6739">
      <w:pPr>
        <w:spacing w:after="0" w:line="240" w:lineRule="auto"/>
      </w:pPr>
      <w:r>
        <w:separator/>
      </w:r>
    </w:p>
  </w:endnote>
  <w:endnote w:type="continuationSeparator" w:id="0">
    <w:p w14:paraId="25B5E79C" w14:textId="77777777" w:rsidR="00AC6D8C" w:rsidRDefault="00AC6D8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AFA17" w14:textId="77777777" w:rsidR="00AC6D8C" w:rsidRDefault="00AC6D8C" w:rsidP="00AA6739">
      <w:pPr>
        <w:spacing w:after="0" w:line="240" w:lineRule="auto"/>
      </w:pPr>
      <w:r>
        <w:separator/>
      </w:r>
    </w:p>
  </w:footnote>
  <w:footnote w:type="continuationSeparator" w:id="0">
    <w:p w14:paraId="757C953E" w14:textId="77777777" w:rsidR="00AC6D8C" w:rsidRDefault="00AC6D8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16CAA"/>
    <w:multiLevelType w:val="hybridMultilevel"/>
    <w:tmpl w:val="FE76A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957AF"/>
    <w:multiLevelType w:val="hybridMultilevel"/>
    <w:tmpl w:val="CE4A95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35DFF"/>
    <w:rsid w:val="00267150"/>
    <w:rsid w:val="00271C6E"/>
    <w:rsid w:val="00275267"/>
    <w:rsid w:val="002F35E9"/>
    <w:rsid w:val="002F3851"/>
    <w:rsid w:val="00305361"/>
    <w:rsid w:val="003156AF"/>
    <w:rsid w:val="00334C6E"/>
    <w:rsid w:val="00350323"/>
    <w:rsid w:val="003610E7"/>
    <w:rsid w:val="00365CC2"/>
    <w:rsid w:val="00380CDE"/>
    <w:rsid w:val="003853E4"/>
    <w:rsid w:val="0046016C"/>
    <w:rsid w:val="004A6BFF"/>
    <w:rsid w:val="00537C8C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45550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C6D8C"/>
    <w:rsid w:val="00AF0913"/>
    <w:rsid w:val="00AF427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customStyle="1" w:styleId="whitespace-nowrap">
    <w:name w:val="whitespace-nowrap"/>
    <w:basedOn w:val="DefaultParagraphFont"/>
    <w:rsid w:val="00267150"/>
  </w:style>
  <w:style w:type="character" w:styleId="Hyperlink">
    <w:name w:val="Hyperlink"/>
    <w:basedOn w:val="DefaultParagraphFont"/>
    <w:uiPriority w:val="99"/>
    <w:unhideWhenUsed/>
    <w:rsid w:val="00235DFF"/>
    <w:rPr>
      <w:color w:val="0000FF"/>
      <w:u w:val="single"/>
    </w:rPr>
  </w:style>
  <w:style w:type="paragraph" w:customStyle="1" w:styleId="my-0">
    <w:name w:val="my-0"/>
    <w:basedOn w:val="Normal"/>
    <w:rsid w:val="002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238-025-01711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safarzadeh@ar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EEF7-CA53-48E3-A456-E6FB98CF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27</cp:revision>
  <cp:lastPrinted>2024-11-24T08:04:00Z</cp:lastPrinted>
  <dcterms:created xsi:type="dcterms:W3CDTF">2025-05-03T20:11:00Z</dcterms:created>
  <dcterms:modified xsi:type="dcterms:W3CDTF">2025-06-03T15:35:00Z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