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7C" w:rsidRDefault="002F3851" w:rsidP="00012B7C">
      <w:pPr>
        <w:rPr>
          <w:rStyle w:val="rynqvb"/>
          <w:rFonts w:hint="cs"/>
          <w:rtl/>
          <w:lang w:bidi="fa-IR"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012B7C">
        <w:rPr>
          <w:rStyle w:val="rynqvb"/>
          <w:rFonts w:hint="cs"/>
          <w:rtl/>
          <w:lang w:bidi="fa-IR"/>
        </w:rPr>
        <w:t xml:space="preserve">اثربخشی هموپرفیوژن در بیماران مبتلا به کوویدبا جداسازي مشكل از دستگاه تهويه مكانيكي </w:t>
      </w:r>
    </w:p>
    <w:p w:rsidR="006D20F6" w:rsidRDefault="006D20F6" w:rsidP="006D20F6">
      <w:pPr>
        <w:rPr>
          <w:b/>
          <w:bCs/>
          <w:rtl/>
        </w:rPr>
      </w:pPr>
    </w:p>
    <w:p w:rsidR="00F21F89" w:rsidRPr="002A5614" w:rsidRDefault="00F21F89" w:rsidP="00F21F89">
      <w:pPr>
        <w:bidi/>
      </w:pPr>
    </w:p>
    <w:p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012B7C">
        <w:rPr>
          <w:rFonts w:hint="cs"/>
          <w:b/>
          <w:bCs/>
          <w:rtl/>
          <w:lang w:bidi="fa-IR"/>
        </w:rPr>
        <w:t>1404.10.1</w:t>
      </w:r>
    </w:p>
    <w:p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  <w:r w:rsidR="00012B7C">
        <w:rPr>
          <w:rFonts w:hint="cs"/>
          <w:b/>
          <w:bCs/>
          <w:rtl/>
        </w:rPr>
        <w:t>شهناز فولادي سرابي</w:t>
      </w:r>
    </w:p>
    <w:p w:rsidR="009E4F82" w:rsidRDefault="009E4F82" w:rsidP="002F3851">
      <w:pPr>
        <w:bidi/>
        <w:rPr>
          <w:b/>
          <w:bCs/>
          <w:rtl/>
        </w:rPr>
      </w:pPr>
    </w:p>
    <w:p w:rsidR="00012B7C" w:rsidRDefault="002F3851" w:rsidP="00012B7C">
      <w:pPr>
        <w:rPr>
          <w:rStyle w:val="rynqvb"/>
          <w:rFonts w:hint="cs"/>
          <w:rtl/>
          <w:lang w:bidi="fa-IR"/>
        </w:rPr>
      </w:pPr>
      <w:r>
        <w:rPr>
          <w:rFonts w:hint="cs"/>
          <w:b/>
          <w:bCs/>
          <w:rtl/>
        </w:rPr>
        <w:t xml:space="preserve">عنوان پیام پژوهشی </w:t>
      </w:r>
      <w:r w:rsidR="00012B7C">
        <w:rPr>
          <w:rFonts w:hint="cs"/>
          <w:b/>
          <w:bCs/>
          <w:rtl/>
        </w:rPr>
        <w:t xml:space="preserve">: </w:t>
      </w:r>
      <w:r w:rsidR="00012B7C">
        <w:rPr>
          <w:rStyle w:val="rynqvb"/>
          <w:rFonts w:hint="cs"/>
          <w:rtl/>
          <w:lang w:bidi="fa-IR"/>
        </w:rPr>
        <w:t xml:space="preserve">اثربخشی هموپرفیوژن در بیماران مبتلا به کوویدبا جداسازي مشكل از دستگاه تهويه مكانيكي </w:t>
      </w:r>
    </w:p>
    <w:p w:rsidR="00F95520" w:rsidRPr="000D10D5" w:rsidRDefault="00F95520" w:rsidP="00012B7C">
      <w:pPr>
        <w:bidi/>
        <w:jc w:val="both"/>
        <w:rPr>
          <w:rtl/>
        </w:rPr>
      </w:pPr>
    </w:p>
    <w:p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: </w:t>
      </w:r>
      <w:r w:rsidR="00012B7C">
        <w:rPr>
          <w:rStyle w:val="rynqvb"/>
          <w:rFonts w:hint="cs"/>
          <w:rtl/>
          <w:lang w:bidi="fa-IR"/>
        </w:rPr>
        <w:t xml:space="preserve">هموپرفیوژن. بيماران كوويد19. جداسازي مشكل. دستگاه تهويه مكانيكي </w:t>
      </w:r>
    </w:p>
    <w:p w:rsidR="00F95520" w:rsidRDefault="00F95520" w:rsidP="00F95520">
      <w:pPr>
        <w:bidi/>
        <w:rPr>
          <w:b/>
          <w:bCs/>
          <w:rtl/>
        </w:rPr>
      </w:pPr>
    </w:p>
    <w:p w:rsidR="00F95520" w:rsidRPr="000D10D5" w:rsidRDefault="00F95520" w:rsidP="00F95520">
      <w:pPr>
        <w:bidi/>
        <w:rPr>
          <w:rtl/>
        </w:rPr>
      </w:pPr>
    </w:p>
    <w:p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 w:rsidRPr="005D14DC">
        <w:rPr>
          <w:rFonts w:hint="cs"/>
          <w:b/>
          <w:bCs/>
          <w:color w:val="FF0000"/>
          <w:rtl/>
        </w:rPr>
        <w:t>( حداکثر240 کلمه)</w:t>
      </w:r>
      <w:r w:rsidR="0097793B">
        <w:rPr>
          <w:rFonts w:hint="cs"/>
          <w:b/>
          <w:bCs/>
          <w:rtl/>
        </w:rPr>
        <w:t>:</w:t>
      </w:r>
    </w:p>
    <w:p w:rsidR="00F95520" w:rsidRPr="005D14DC" w:rsidRDefault="00F95520" w:rsidP="00F95520">
      <w:pPr>
        <w:bidi/>
        <w:rPr>
          <w:color w:val="FF0000"/>
          <w:rtl/>
        </w:rPr>
      </w:pPr>
    </w:p>
    <w:p w:rsidR="00182985" w:rsidRPr="002E48C2" w:rsidRDefault="00182985" w:rsidP="00182985">
      <w:pPr>
        <w:bidi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E48C2">
        <w:rPr>
          <w:rFonts w:ascii="Times New Roman" w:eastAsia="Times New Roman" w:hAnsi="Times New Roman" w:cs="Times New Roman" w:hint="cs"/>
          <w:szCs w:val="24"/>
          <w:rtl/>
          <w:lang w:bidi="fa-IR"/>
        </w:rPr>
        <w:t>جدا شدن بیماران کووید-۱۹ تحت تهویه مصنوعی از دستگاه‌های تنفس مصنوعی، مشکل عمده‌ای در برخی از این بیماران بوده است.</w:t>
      </w:r>
    </w:p>
    <w:p w:rsidR="00F95520" w:rsidRPr="005D14DC" w:rsidRDefault="00F95520" w:rsidP="00F95520">
      <w:pPr>
        <w:bidi/>
        <w:rPr>
          <w:color w:val="FF0000"/>
        </w:rPr>
      </w:pPr>
    </w:p>
    <w:p w:rsidR="00182985" w:rsidRDefault="00182985" w:rsidP="00182985">
      <w:pPr>
        <w:rPr>
          <w:rFonts w:ascii="Times New Roman" w:eastAsia="Times New Roman" w:hAnsi="Times New Roman" w:cs="Times New Roman" w:hint="cs"/>
          <w:szCs w:val="24"/>
          <w:rtl/>
          <w:lang w:bidi="fa-IR"/>
        </w:rPr>
      </w:pPr>
      <w:r w:rsidRPr="002E48C2">
        <w:rPr>
          <w:rFonts w:ascii="Times New Roman" w:eastAsia="Times New Roman" w:hAnsi="Times New Roman" w:cs="Times New Roman" w:hint="cs"/>
          <w:szCs w:val="24"/>
          <w:rtl/>
          <w:lang w:bidi="fa-IR"/>
        </w:rPr>
        <w:t>ما هموپرفیوژن را در یک گروه انتخابی از بیماران کووید-۱۹ انجام دادیم تا جدا شدن از دستگاه تنفس مصنوعی</w:t>
      </w:r>
      <w:r>
        <w:rPr>
          <w:rFonts w:ascii="Times New Roman" w:eastAsia="Times New Roman" w:hAnsi="Times New Roman" w:cs="Times New Roman" w:hint="cs"/>
          <w:szCs w:val="24"/>
          <w:lang w:bidi="fa-IR"/>
        </w:rPr>
        <w:t xml:space="preserve"> </w:t>
      </w:r>
      <w:r w:rsidRPr="002E48C2">
        <w:rPr>
          <w:rFonts w:ascii="Times New Roman" w:eastAsia="Times New Roman" w:hAnsi="Times New Roman" w:cs="Times New Roman" w:hint="cs"/>
          <w:szCs w:val="24"/>
          <w:rtl/>
          <w:lang w:bidi="fa-IR"/>
        </w:rPr>
        <w:t>را تسهیل کنیم</w:t>
      </w:r>
      <w:r w:rsidRPr="002E48C2">
        <w:rPr>
          <w:rFonts w:ascii="Times New Roman" w:eastAsia="Times New Roman" w:hAnsi="Times New Roman" w:cs="Times New Roman" w:hint="cs"/>
          <w:szCs w:val="24"/>
          <w:lang w:bidi="fa-IR"/>
        </w:rPr>
        <w:t xml:space="preserve">. </w:t>
      </w:r>
      <w:r w:rsidRPr="002E48C2">
        <w:rPr>
          <w:rFonts w:ascii="Times New Roman" w:eastAsia="Times New Roman" w:hAnsi="Times New Roman" w:cs="Times New Roman" w:hint="cs"/>
          <w:szCs w:val="24"/>
          <w:rtl/>
          <w:lang w:bidi="fa-IR"/>
        </w:rPr>
        <w:t>مطالعه حاضر یک سری موارد گذشته‌نگر از ۳۰ بیمار متوالی کووید-۱۹ بود که در جدا شدن از دستگاه تنفس مصنوعی مشکل داشتند</w:t>
      </w:r>
      <w:r w:rsidRPr="002E48C2">
        <w:rPr>
          <w:rFonts w:ascii="Times New Roman" w:eastAsia="Times New Roman" w:hAnsi="Times New Roman" w:cs="Times New Roman" w:hint="cs"/>
          <w:szCs w:val="24"/>
          <w:lang w:bidi="fa-IR"/>
        </w:rPr>
        <w:t xml:space="preserve">. </w:t>
      </w:r>
      <w:r w:rsidRPr="002E48C2">
        <w:rPr>
          <w:rFonts w:ascii="Times New Roman" w:eastAsia="Times New Roman" w:hAnsi="Times New Roman" w:cs="Times New Roman" w:hint="cs"/>
          <w:szCs w:val="24"/>
          <w:rtl/>
          <w:lang w:bidi="fa-IR"/>
        </w:rPr>
        <w:t>هموپرفیوژن توسط کارتریج هموپرفیوژن یکبار مصرف</w:t>
      </w:r>
      <w:r w:rsidRPr="002E48C2">
        <w:rPr>
          <w:rFonts w:ascii="Times New Roman" w:eastAsia="Times New Roman" w:hAnsi="Times New Roman" w:cs="Times New Roman" w:hint="cs"/>
          <w:szCs w:val="24"/>
          <w:lang w:bidi="fa-IR"/>
        </w:rPr>
        <w:t xml:space="preserve"> </w:t>
      </w:r>
      <w:r w:rsidRPr="002E48C2">
        <w:rPr>
          <w:rFonts w:ascii="Times New Roman" w:eastAsia="Times New Roman" w:hAnsi="Times New Roman" w:cs="Times New Roman" w:hint="cs"/>
          <w:szCs w:val="24"/>
          <w:rtl/>
          <w:lang w:bidi="fa-IR"/>
        </w:rPr>
        <w:t>قبل و بعد از هموپرفیوژن، تغییرات در همودینامیک بیماران، بهبود سطح هوشیاری، اشباع اکسیژن، هیپرکاپنی، شروع تنفس خودبه‌خودی و تغییرات در درگیری ریه ارزیابی شد</w:t>
      </w:r>
      <w:r w:rsidRPr="00182985">
        <w:rPr>
          <w:rFonts w:ascii="Times New Roman" w:eastAsia="Times New Roman" w:hAnsi="Times New Roman" w:cs="Times New Roman" w:hint="cs"/>
          <w:szCs w:val="24"/>
          <w:rtl/>
          <w:lang w:bidi="fa-IR"/>
        </w:rPr>
        <w:t xml:space="preserve"> </w:t>
      </w:r>
    </w:p>
    <w:p w:rsidR="00F95520" w:rsidRPr="005D14DC" w:rsidRDefault="00182985" w:rsidP="00182985">
      <w:pPr>
        <w:rPr>
          <w:color w:val="FF0000"/>
        </w:rPr>
      </w:pPr>
      <w:r w:rsidRPr="002E48C2">
        <w:rPr>
          <w:rFonts w:ascii="Times New Roman" w:eastAsia="Times New Roman" w:hAnsi="Times New Roman" w:cs="Times New Roman" w:hint="cs"/>
          <w:szCs w:val="24"/>
          <w:rtl/>
          <w:lang w:bidi="fa-IR"/>
        </w:rPr>
        <w:t>نتایج: میانگین سنی بیماران ۴۸.۳۸ ± ۱۵.۰۴ سال بود که ۱۷ نفر (۵۶.۷٪) زن بودند</w:t>
      </w:r>
      <w:r w:rsidRPr="002E48C2">
        <w:rPr>
          <w:rFonts w:ascii="Times New Roman" w:eastAsia="Times New Roman" w:hAnsi="Times New Roman" w:cs="Times New Roman" w:hint="cs"/>
          <w:szCs w:val="24"/>
          <w:lang w:bidi="fa-IR"/>
        </w:rPr>
        <w:t xml:space="preserve">. </w:t>
      </w:r>
      <w:r w:rsidRPr="002E48C2">
        <w:rPr>
          <w:rFonts w:ascii="Times New Roman" w:eastAsia="Times New Roman" w:hAnsi="Times New Roman" w:cs="Times New Roman" w:hint="cs"/>
          <w:szCs w:val="24"/>
          <w:rtl/>
          <w:lang w:bidi="fa-IR"/>
        </w:rPr>
        <w:t>مقادیر پس از هموپرفیوژن</w:t>
      </w:r>
      <w:r w:rsidRPr="002E48C2">
        <w:rPr>
          <w:rFonts w:ascii="Times New Roman" w:eastAsia="Times New Roman" w:hAnsi="Times New Roman" w:cs="Times New Roman" w:hint="cs"/>
          <w:szCs w:val="24"/>
          <w:lang w:bidi="fa-IR"/>
        </w:rPr>
        <w:t xml:space="preserve"> </w:t>
      </w:r>
      <w:r>
        <w:rPr>
          <w:rFonts w:ascii="Times New Roman" w:eastAsia="Times New Roman" w:hAnsi="Times New Roman" w:cs="Times New Roman" w:hint="cs"/>
          <w:szCs w:val="24"/>
          <w:rtl/>
          <w:lang w:bidi="fa-IR"/>
        </w:rPr>
        <w:t>ساچوريشن</w:t>
      </w:r>
      <w:r w:rsidRPr="002E48C2">
        <w:rPr>
          <w:rFonts w:ascii="Times New Roman" w:eastAsia="Times New Roman" w:hAnsi="Times New Roman" w:cs="Times New Roman" w:hint="cs"/>
          <w:szCs w:val="24"/>
          <w:lang w:bidi="fa-IR"/>
        </w:rPr>
        <w:t xml:space="preserve"> (P &lt; 0.001)</w:t>
      </w:r>
      <w:r w:rsidRPr="002E48C2">
        <w:rPr>
          <w:rFonts w:ascii="Times New Roman" w:eastAsia="Times New Roman" w:hAnsi="Times New Roman" w:cs="Times New Roman" w:hint="cs"/>
          <w:szCs w:val="24"/>
          <w:rtl/>
          <w:lang w:bidi="fa-IR"/>
        </w:rPr>
        <w:t>، فشار متوسط ​​شریانی</w:t>
      </w:r>
      <w:r w:rsidRPr="002E48C2">
        <w:rPr>
          <w:rFonts w:ascii="Times New Roman" w:eastAsia="Times New Roman" w:hAnsi="Times New Roman" w:cs="Times New Roman" w:hint="cs"/>
          <w:szCs w:val="24"/>
          <w:lang w:bidi="fa-IR"/>
        </w:rPr>
        <w:t xml:space="preserve"> (P = 0.003)</w:t>
      </w:r>
      <w:r w:rsidRPr="002E48C2">
        <w:rPr>
          <w:rFonts w:ascii="Times New Roman" w:eastAsia="Times New Roman" w:hAnsi="Times New Roman" w:cs="Times New Roman" w:hint="cs"/>
          <w:szCs w:val="24"/>
          <w:rtl/>
          <w:lang w:bidi="fa-IR"/>
        </w:rPr>
        <w:t>، فشار مثبت انتهای بازدمی</w:t>
      </w:r>
      <w:r w:rsidRPr="002E48C2">
        <w:rPr>
          <w:rFonts w:ascii="Times New Roman" w:eastAsia="Times New Roman" w:hAnsi="Times New Roman" w:cs="Times New Roman" w:hint="cs"/>
          <w:szCs w:val="24"/>
          <w:lang w:bidi="fa-IR"/>
        </w:rPr>
        <w:t xml:space="preserve"> (P &lt; 0.001)</w:t>
      </w:r>
      <w:r w:rsidRPr="002E48C2">
        <w:rPr>
          <w:rFonts w:ascii="Times New Roman" w:eastAsia="Times New Roman" w:hAnsi="Times New Roman" w:cs="Times New Roman" w:hint="cs"/>
          <w:szCs w:val="24"/>
          <w:rtl/>
          <w:lang w:bidi="fa-IR"/>
        </w:rPr>
        <w:t>، ضربان قلب</w:t>
      </w:r>
      <w:r w:rsidRPr="002E48C2">
        <w:rPr>
          <w:rFonts w:ascii="Times New Roman" w:eastAsia="Times New Roman" w:hAnsi="Times New Roman" w:cs="Times New Roman" w:hint="cs"/>
          <w:szCs w:val="24"/>
          <w:lang w:bidi="fa-IR"/>
        </w:rPr>
        <w:t xml:space="preserve"> (P &lt; 0.001) </w:t>
      </w:r>
      <w:r w:rsidRPr="002E48C2">
        <w:rPr>
          <w:rFonts w:ascii="Times New Roman" w:eastAsia="Times New Roman" w:hAnsi="Times New Roman" w:cs="Times New Roman" w:hint="cs"/>
          <w:szCs w:val="24"/>
          <w:rtl/>
          <w:lang w:bidi="fa-IR"/>
        </w:rPr>
        <w:t>و نسبت فشار جزئی اکسیژن شریانی به اکسیژن دمی کسری</w:t>
      </w:r>
      <w:r w:rsidRPr="002E48C2">
        <w:rPr>
          <w:rFonts w:ascii="Times New Roman" w:eastAsia="Times New Roman" w:hAnsi="Times New Roman" w:cs="Times New Roman" w:hint="cs"/>
          <w:szCs w:val="24"/>
          <w:lang w:bidi="fa-IR"/>
        </w:rPr>
        <w:t xml:space="preserve"> (P &lt; 0.001) </w:t>
      </w:r>
      <w:r w:rsidRPr="002E48C2">
        <w:rPr>
          <w:rFonts w:ascii="Times New Roman" w:eastAsia="Times New Roman" w:hAnsi="Times New Roman" w:cs="Times New Roman" w:hint="cs"/>
          <w:szCs w:val="24"/>
          <w:rtl/>
          <w:lang w:bidi="fa-IR"/>
        </w:rPr>
        <w:t>در مقایسه با مقادیر قبل از هموپرفیوژن به طور قابل توجهی متفاوت بودند</w:t>
      </w:r>
      <w:r w:rsidRPr="002E48C2">
        <w:rPr>
          <w:rFonts w:ascii="Times New Roman" w:eastAsia="Times New Roman" w:hAnsi="Times New Roman" w:cs="Times New Roman" w:hint="cs"/>
          <w:szCs w:val="24"/>
          <w:lang w:bidi="fa-IR"/>
        </w:rPr>
        <w:t xml:space="preserve">. </w:t>
      </w:r>
      <w:r w:rsidRPr="002E48C2">
        <w:rPr>
          <w:rFonts w:ascii="Times New Roman" w:eastAsia="Times New Roman" w:hAnsi="Times New Roman" w:cs="Times New Roman" w:hint="cs"/>
          <w:szCs w:val="24"/>
          <w:rtl/>
          <w:lang w:bidi="fa-IR"/>
        </w:rPr>
        <w:t>پیامد بیماران رابطه معناداری با سن</w:t>
      </w:r>
      <w:r w:rsidRPr="002E48C2">
        <w:rPr>
          <w:rFonts w:ascii="Times New Roman" w:eastAsia="Times New Roman" w:hAnsi="Times New Roman" w:cs="Times New Roman" w:hint="cs"/>
          <w:szCs w:val="24"/>
          <w:lang w:bidi="fa-IR"/>
        </w:rPr>
        <w:t xml:space="preserve"> (P = 0.017) </w:t>
      </w:r>
      <w:r w:rsidRPr="002E48C2">
        <w:rPr>
          <w:rFonts w:ascii="Times New Roman" w:eastAsia="Times New Roman" w:hAnsi="Times New Roman" w:cs="Times New Roman" w:hint="cs"/>
          <w:szCs w:val="24"/>
          <w:rtl/>
          <w:lang w:bidi="fa-IR"/>
        </w:rPr>
        <w:t>و تهویه خود به خودی</w:t>
      </w:r>
      <w:r w:rsidRPr="002E48C2">
        <w:rPr>
          <w:rFonts w:ascii="Times New Roman" w:eastAsia="Times New Roman" w:hAnsi="Times New Roman" w:cs="Times New Roman" w:hint="cs"/>
          <w:szCs w:val="24"/>
          <w:lang w:bidi="fa-IR"/>
        </w:rPr>
        <w:t xml:space="preserve"> (P = 0.001) </w:t>
      </w:r>
      <w:r w:rsidRPr="002E48C2">
        <w:rPr>
          <w:rFonts w:ascii="Times New Roman" w:eastAsia="Times New Roman" w:hAnsi="Times New Roman" w:cs="Times New Roman" w:hint="cs"/>
          <w:szCs w:val="24"/>
          <w:rtl/>
          <w:lang w:bidi="fa-IR"/>
        </w:rPr>
        <w:t>نشان داد</w:t>
      </w:r>
      <w:r w:rsidRPr="002E48C2">
        <w:rPr>
          <w:rFonts w:ascii="Times New Roman" w:eastAsia="Times New Roman" w:hAnsi="Times New Roman" w:cs="Times New Roman" w:hint="cs"/>
          <w:szCs w:val="24"/>
          <w:lang w:bidi="fa-IR"/>
        </w:rPr>
        <w:t xml:space="preserve">. </w:t>
      </w:r>
    </w:p>
    <w:p w:rsidR="00182985" w:rsidRDefault="00182985" w:rsidP="00182985">
      <w:pPr>
        <w:rPr>
          <w:rFonts w:ascii="Times New Roman" w:eastAsia="Times New Roman" w:hAnsi="Times New Roman" w:cs="Times New Roman" w:hint="cs"/>
          <w:szCs w:val="24"/>
          <w:rtl/>
          <w:lang w:bidi="fa-IR"/>
        </w:rPr>
      </w:pPr>
      <w:r w:rsidRPr="002E48C2">
        <w:rPr>
          <w:rFonts w:ascii="Times New Roman" w:eastAsia="Times New Roman" w:hAnsi="Times New Roman" w:cs="Times New Roman" w:hint="cs"/>
          <w:szCs w:val="24"/>
          <w:rtl/>
          <w:lang w:bidi="fa-IR"/>
        </w:rPr>
        <w:lastRenderedPageBreak/>
        <w:t xml:space="preserve"> یافته ها، اجرای هموپرفیوژن را برای بیماران کووید-19 بستری در بخش مراقبت های ویژه که در جدا شدن از تهویه مکانیکی مشکل دارند، تأیید می کند</w:t>
      </w:r>
      <w:r w:rsidRPr="002E48C2">
        <w:rPr>
          <w:rFonts w:ascii="Times New Roman" w:eastAsia="Times New Roman" w:hAnsi="Times New Roman" w:cs="Times New Roman" w:hint="cs"/>
          <w:szCs w:val="24"/>
          <w:lang w:bidi="fa-IR"/>
        </w:rPr>
        <w:t xml:space="preserve">. </w:t>
      </w:r>
      <w:r w:rsidRPr="002E48C2">
        <w:rPr>
          <w:rFonts w:ascii="Times New Roman" w:eastAsia="Times New Roman" w:hAnsi="Times New Roman" w:cs="Times New Roman" w:hint="cs"/>
          <w:szCs w:val="24"/>
          <w:rtl/>
          <w:lang w:bidi="fa-IR"/>
        </w:rPr>
        <w:t>هموپرفیوژن بهبود قابل توجهی در علائم حیاتی اکثر بیماران نشان داد و با جدا شدن موفقیت آمیز و میزان بقای 63.3٪ همراه بود</w:t>
      </w:r>
      <w:r w:rsidRPr="002E48C2">
        <w:rPr>
          <w:rFonts w:ascii="Times New Roman" w:eastAsia="Times New Roman" w:hAnsi="Times New Roman" w:cs="Times New Roman" w:hint="cs"/>
          <w:szCs w:val="24"/>
          <w:lang w:bidi="fa-IR"/>
        </w:rPr>
        <w:t xml:space="preserve">. </w:t>
      </w:r>
      <w:r w:rsidRPr="002E48C2">
        <w:rPr>
          <w:rFonts w:ascii="Times New Roman" w:eastAsia="Times New Roman" w:hAnsi="Times New Roman" w:cs="Times New Roman" w:hint="cs"/>
          <w:szCs w:val="24"/>
          <w:rtl/>
          <w:lang w:bidi="fa-IR"/>
        </w:rPr>
        <w:t>اگرچه این نتایج امیدوارکننده هستند، اما شواهد بیشتری برای در نظر گرفتن هموپرفیوژن به عنوان یک رویکرد بالینی پذیرفته شده مورد نیاز است</w:t>
      </w:r>
      <w:r w:rsidRPr="002E48C2">
        <w:rPr>
          <w:rFonts w:ascii="Times New Roman" w:eastAsia="Times New Roman" w:hAnsi="Times New Roman" w:cs="Times New Roman" w:hint="cs"/>
          <w:szCs w:val="24"/>
          <w:lang w:bidi="fa-IR"/>
        </w:rPr>
        <w:t xml:space="preserve">. </w:t>
      </w:r>
    </w:p>
    <w:p w:rsidR="00182985" w:rsidRPr="005D14DC" w:rsidRDefault="00182985" w:rsidP="00182985">
      <w:pPr>
        <w:bidi/>
        <w:ind w:left="360"/>
        <w:rPr>
          <w:color w:val="FF0000"/>
        </w:rPr>
      </w:pPr>
    </w:p>
    <w:p w:rsidR="00F95520" w:rsidRDefault="00F95520" w:rsidP="002F3851">
      <w:pPr>
        <w:bidi/>
        <w:rPr>
          <w:b/>
          <w:bCs/>
          <w:rtl/>
        </w:rPr>
      </w:pPr>
    </w:p>
    <w:p w:rsidR="00F95520" w:rsidRDefault="00F95520" w:rsidP="00F95520">
      <w:pPr>
        <w:bidi/>
        <w:rPr>
          <w:b/>
          <w:bCs/>
          <w:rtl/>
        </w:rPr>
      </w:pPr>
    </w:p>
    <w:p w:rsidR="00F95520" w:rsidRDefault="00F95520" w:rsidP="003610E7">
      <w:pPr>
        <w:bidi/>
        <w:ind w:firstLine="720"/>
        <w:rPr>
          <w:b/>
          <w:bCs/>
          <w:rtl/>
        </w:rPr>
      </w:pPr>
    </w:p>
    <w:p w:rsidR="00F95520" w:rsidRDefault="00F95520" w:rsidP="00F95520">
      <w:pPr>
        <w:bidi/>
        <w:rPr>
          <w:b/>
          <w:bCs/>
          <w:rtl/>
        </w:rPr>
      </w:pPr>
    </w:p>
    <w:p w:rsidR="00F95520" w:rsidRDefault="002F3851" w:rsidP="00F95520">
      <w:pPr>
        <w:bidi/>
        <w:rPr>
          <w:rFonts w:hint="cs"/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  <w:r w:rsidR="00182985">
        <w:rPr>
          <w:rFonts w:hint="cs"/>
          <w:b/>
          <w:bCs/>
          <w:rtl/>
        </w:rPr>
        <w:t xml:space="preserve">استفاده ار هموپرفيوزن در بيماران با جداسازي مشكل از دستگاه ونتيلاتور </w:t>
      </w:r>
    </w:p>
    <w:p w:rsidR="00182985" w:rsidRDefault="00182985" w:rsidP="0018298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بهبود اوت كام بيماران با جداسازي مشكل از دستگاه ونتيلاتور</w:t>
      </w:r>
    </w:p>
    <w:p w:rsidR="00A2206A" w:rsidRDefault="00A2206A" w:rsidP="00A2206A">
      <w:pPr>
        <w:bidi/>
        <w:rPr>
          <w:b/>
          <w:bCs/>
        </w:rPr>
      </w:pPr>
    </w:p>
    <w:p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  <w:r w:rsidR="00182985">
        <w:rPr>
          <w:rFonts w:hint="cs"/>
          <w:b/>
          <w:bCs/>
          <w:rtl/>
        </w:rPr>
        <w:t>تعداد كم بيماران وهزينه بالاي همو</w:t>
      </w:r>
      <w:r w:rsidR="00182985">
        <w:rPr>
          <w:rFonts w:hint="cs"/>
          <w:b/>
          <w:bCs/>
          <w:rtl/>
        </w:rPr>
        <w:tab/>
        <w:t xml:space="preserve">رفيوزن </w:t>
      </w:r>
    </w:p>
    <w:p w:rsidR="00A2206A" w:rsidRPr="00A2206A" w:rsidRDefault="00A2206A" w:rsidP="00A2206A">
      <w:pPr>
        <w:bidi/>
        <w:rPr>
          <w:b/>
          <w:bCs/>
        </w:rPr>
      </w:pPr>
    </w:p>
    <w:p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182985">
        <w:rPr>
          <w:rFonts w:hint="cs"/>
          <w:b/>
          <w:bCs/>
          <w:rtl/>
        </w:rPr>
        <w:t xml:space="preserve">پزشكان باليني ودرمانگران </w:t>
      </w:r>
    </w:p>
    <w:p w:rsidR="00F95520" w:rsidRDefault="00F95520" w:rsidP="000F3D7B">
      <w:pPr>
        <w:bidi/>
        <w:jc w:val="both"/>
        <w:rPr>
          <w:b/>
          <w:bCs/>
          <w:rtl/>
        </w:rPr>
      </w:pPr>
    </w:p>
    <w:p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182985">
        <w:rPr>
          <w:rFonts w:hint="cs"/>
          <w:b/>
          <w:bCs/>
          <w:rtl/>
        </w:rPr>
        <w:t>خير</w:t>
      </w:r>
    </w:p>
    <w:p w:rsidR="00F95520" w:rsidRDefault="00F95520" w:rsidP="00F95520">
      <w:pPr>
        <w:bidi/>
        <w:jc w:val="both"/>
        <w:rPr>
          <w:b/>
          <w:bCs/>
          <w:rtl/>
        </w:rPr>
      </w:pPr>
    </w:p>
    <w:p w:rsidR="0067709B" w:rsidRDefault="0067709B" w:rsidP="00F95520">
      <w:pPr>
        <w:bidi/>
        <w:jc w:val="both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:rsidR="00182985" w:rsidRDefault="00182985" w:rsidP="00182985">
      <w:pPr>
        <w:bidi/>
        <w:jc w:val="both"/>
        <w:rPr>
          <w:b/>
          <w:bCs/>
          <w:rtl/>
        </w:rPr>
      </w:pPr>
      <w:r w:rsidRPr="00182985">
        <w:rPr>
          <w:b/>
          <w:bCs/>
        </w:rPr>
        <w:t>https://www.google.com/url?sa=t&amp;source=web&amp;rct=j&amp;opi=89978449&amp;url=https://www.apicareonline.com/index.php/APIC/article/download/2660/4055/&amp;ved=2ahUKEwj01YuCmtORAxWjgv0HHTlHFQAQFnoECCQQAQ&amp;usg=AOvVaw3I711HXoXhr0jcPGWxuIGc</w:t>
      </w:r>
    </w:p>
    <w:p w:rsidR="00F95520" w:rsidRPr="00AA7CAA" w:rsidRDefault="00F95520" w:rsidP="00F95520">
      <w:pPr>
        <w:bidi/>
        <w:jc w:val="both"/>
        <w:rPr>
          <w:rtl/>
        </w:rPr>
      </w:pPr>
    </w:p>
    <w:p w:rsidR="002F3851" w:rsidRDefault="002F3851" w:rsidP="002F3851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:rsidR="00F95520" w:rsidRPr="0097793B" w:rsidRDefault="00F95520" w:rsidP="00F95520">
      <w:pPr>
        <w:bidi/>
        <w:jc w:val="both"/>
        <w:rPr>
          <w:b/>
          <w:bCs/>
          <w:rtl/>
        </w:rPr>
      </w:pPr>
    </w:p>
    <w:p w:rsidR="00182985" w:rsidRPr="00182985" w:rsidRDefault="002F3851" w:rsidP="00182985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End w:id="0"/>
      <w:r w:rsidR="00182985" w:rsidRPr="00182985">
        <w:rPr>
          <w:b/>
          <w:bCs/>
          <w:rtl/>
          <w:lang w:bidi="fa-IR"/>
        </w:rPr>
        <w:t xml:space="preserve">1. </w:t>
      </w:r>
      <w:proofErr w:type="spellStart"/>
      <w:r w:rsidR="00182985" w:rsidRPr="00182985">
        <w:rPr>
          <w:b/>
          <w:bCs/>
          <w:lang w:bidi="fa-IR"/>
        </w:rPr>
        <w:t>Parisi</w:t>
      </w:r>
      <w:proofErr w:type="spellEnd"/>
      <w:r w:rsidR="00182985" w:rsidRPr="00182985">
        <w:rPr>
          <w:b/>
          <w:bCs/>
          <w:lang w:bidi="fa-IR"/>
        </w:rPr>
        <w:t xml:space="preserve"> N, </w:t>
      </w:r>
      <w:proofErr w:type="spellStart"/>
      <w:r w:rsidR="00182985" w:rsidRPr="00182985">
        <w:rPr>
          <w:b/>
          <w:bCs/>
          <w:lang w:bidi="fa-IR"/>
        </w:rPr>
        <w:t>Janier-Dubry</w:t>
      </w:r>
      <w:proofErr w:type="spellEnd"/>
      <w:r w:rsidR="00182985" w:rsidRPr="00182985">
        <w:rPr>
          <w:b/>
          <w:bCs/>
          <w:lang w:bidi="fa-IR"/>
        </w:rPr>
        <w:t xml:space="preserve"> A, </w:t>
      </w:r>
      <w:proofErr w:type="spellStart"/>
      <w:r w:rsidR="00182985" w:rsidRPr="00182985">
        <w:rPr>
          <w:b/>
          <w:bCs/>
          <w:lang w:bidi="fa-IR"/>
        </w:rPr>
        <w:t>Ponzetto</w:t>
      </w:r>
      <w:proofErr w:type="spellEnd"/>
      <w:r w:rsidR="00182985" w:rsidRPr="00182985">
        <w:rPr>
          <w:b/>
          <w:bCs/>
          <w:lang w:bidi="fa-IR"/>
        </w:rPr>
        <w:t xml:space="preserve"> E, </w:t>
      </w:r>
      <w:proofErr w:type="spellStart"/>
      <w:r w:rsidR="00182985" w:rsidRPr="00182985">
        <w:rPr>
          <w:b/>
          <w:bCs/>
          <w:lang w:bidi="fa-IR"/>
        </w:rPr>
        <w:t>Pavlopoulos</w:t>
      </w:r>
      <w:proofErr w:type="spellEnd"/>
    </w:p>
    <w:p w:rsidR="00182985" w:rsidRPr="00182985" w:rsidRDefault="00182985" w:rsidP="00182985">
      <w:pPr>
        <w:bidi/>
        <w:rPr>
          <w:b/>
          <w:bCs/>
          <w:lang w:bidi="fa-IR"/>
        </w:rPr>
      </w:pPr>
      <w:r w:rsidRPr="00182985">
        <w:rPr>
          <w:b/>
          <w:bCs/>
          <w:lang w:bidi="fa-IR"/>
        </w:rPr>
        <w:t xml:space="preserve">C, </w:t>
      </w:r>
      <w:proofErr w:type="spellStart"/>
      <w:r w:rsidRPr="00182985">
        <w:rPr>
          <w:b/>
          <w:bCs/>
          <w:lang w:bidi="fa-IR"/>
        </w:rPr>
        <w:t>Bakalli</w:t>
      </w:r>
      <w:proofErr w:type="spellEnd"/>
      <w:r w:rsidRPr="00182985">
        <w:rPr>
          <w:b/>
          <w:bCs/>
          <w:lang w:bidi="fa-IR"/>
        </w:rPr>
        <w:t xml:space="preserve"> G, Molina R, et al. Non-applicability of a</w:t>
      </w:r>
    </w:p>
    <w:p w:rsidR="00182985" w:rsidRPr="00182985" w:rsidRDefault="00182985" w:rsidP="00182985">
      <w:pPr>
        <w:bidi/>
        <w:rPr>
          <w:b/>
          <w:bCs/>
          <w:lang w:bidi="fa-IR"/>
        </w:rPr>
      </w:pPr>
      <w:proofErr w:type="gramStart"/>
      <w:r w:rsidRPr="00182985">
        <w:rPr>
          <w:b/>
          <w:bCs/>
          <w:lang w:bidi="fa-IR"/>
        </w:rPr>
        <w:t>validated</w:t>
      </w:r>
      <w:proofErr w:type="gramEnd"/>
      <w:r w:rsidRPr="00182985">
        <w:rPr>
          <w:b/>
          <w:bCs/>
          <w:lang w:bidi="fa-IR"/>
        </w:rPr>
        <w:t xml:space="preserve"> predictive model for intensive care</w:t>
      </w:r>
    </w:p>
    <w:p w:rsidR="00182985" w:rsidRPr="00182985" w:rsidRDefault="00182985" w:rsidP="00182985">
      <w:pPr>
        <w:bidi/>
        <w:rPr>
          <w:b/>
          <w:bCs/>
          <w:lang w:bidi="fa-IR"/>
        </w:rPr>
      </w:pPr>
      <w:proofErr w:type="gramStart"/>
      <w:r w:rsidRPr="00182985">
        <w:rPr>
          <w:b/>
          <w:bCs/>
          <w:lang w:bidi="fa-IR"/>
        </w:rPr>
        <w:t>admission</w:t>
      </w:r>
      <w:proofErr w:type="gramEnd"/>
      <w:r w:rsidRPr="00182985">
        <w:rPr>
          <w:b/>
          <w:bCs/>
          <w:lang w:bidi="fa-IR"/>
        </w:rPr>
        <w:t xml:space="preserve"> and death of COVID-19 patients in a</w:t>
      </w:r>
    </w:p>
    <w:p w:rsidR="00182985" w:rsidRPr="00182985" w:rsidRDefault="00182985" w:rsidP="00182985">
      <w:pPr>
        <w:bidi/>
        <w:rPr>
          <w:b/>
          <w:bCs/>
          <w:lang w:bidi="fa-IR"/>
        </w:rPr>
      </w:pPr>
      <w:proofErr w:type="gramStart"/>
      <w:r w:rsidRPr="00182985">
        <w:rPr>
          <w:b/>
          <w:bCs/>
          <w:lang w:bidi="fa-IR"/>
        </w:rPr>
        <w:t>secondary</w:t>
      </w:r>
      <w:proofErr w:type="gramEnd"/>
      <w:r w:rsidRPr="00182985">
        <w:rPr>
          <w:b/>
          <w:bCs/>
          <w:lang w:bidi="fa-IR"/>
        </w:rPr>
        <w:t xml:space="preserve"> care hospital in Belgium. J </w:t>
      </w:r>
      <w:proofErr w:type="spellStart"/>
      <w:r w:rsidRPr="00182985">
        <w:rPr>
          <w:b/>
          <w:bCs/>
          <w:lang w:bidi="fa-IR"/>
        </w:rPr>
        <w:t>Emerg</w:t>
      </w:r>
      <w:proofErr w:type="spellEnd"/>
      <w:r w:rsidRPr="00182985">
        <w:rPr>
          <w:b/>
          <w:bCs/>
          <w:lang w:bidi="fa-IR"/>
        </w:rPr>
        <w:t xml:space="preserve"> </w:t>
      </w:r>
      <w:proofErr w:type="spellStart"/>
      <w:r w:rsidRPr="00182985">
        <w:rPr>
          <w:b/>
          <w:bCs/>
          <w:lang w:bidi="fa-IR"/>
        </w:rPr>
        <w:t>Crit</w:t>
      </w:r>
      <w:proofErr w:type="spellEnd"/>
    </w:p>
    <w:p w:rsidR="00182985" w:rsidRPr="00182985" w:rsidRDefault="00182985" w:rsidP="00182985">
      <w:pPr>
        <w:bidi/>
        <w:rPr>
          <w:b/>
          <w:bCs/>
          <w:lang w:bidi="fa-IR"/>
        </w:rPr>
      </w:pPr>
      <w:r w:rsidRPr="00182985">
        <w:rPr>
          <w:b/>
          <w:bCs/>
          <w:lang w:bidi="fa-IR"/>
        </w:rPr>
        <w:t>Care Med. 2021</w:t>
      </w:r>
      <w:proofErr w:type="gramStart"/>
      <w:r w:rsidRPr="00182985">
        <w:rPr>
          <w:b/>
          <w:bCs/>
          <w:lang w:bidi="fa-IR"/>
        </w:rPr>
        <w:t>;5:1</w:t>
      </w:r>
      <w:proofErr w:type="gramEnd"/>
      <w:r w:rsidRPr="00182985">
        <w:rPr>
          <w:b/>
          <w:bCs/>
          <w:lang w:bidi="fa-IR"/>
        </w:rPr>
        <w:t>-13. DOI: 10.21037/jeccm-20</w:t>
      </w:r>
      <w:r w:rsidRPr="00182985">
        <w:rPr>
          <w:b/>
          <w:bCs/>
          <w:rtl/>
          <w:lang w:bidi="fa-IR"/>
        </w:rPr>
        <w:t>-</w:t>
      </w:r>
    </w:p>
    <w:p w:rsidR="00182985" w:rsidRPr="00182985" w:rsidRDefault="00182985" w:rsidP="00182985">
      <w:pPr>
        <w:bidi/>
        <w:rPr>
          <w:b/>
          <w:bCs/>
          <w:lang w:bidi="fa-IR"/>
        </w:rPr>
      </w:pPr>
      <w:r w:rsidRPr="00182985">
        <w:rPr>
          <w:b/>
          <w:bCs/>
          <w:rtl/>
          <w:lang w:bidi="fa-IR"/>
        </w:rPr>
        <w:t>173</w:t>
      </w:r>
    </w:p>
    <w:p w:rsidR="00182985" w:rsidRPr="00182985" w:rsidRDefault="00182985" w:rsidP="00182985">
      <w:pPr>
        <w:bidi/>
        <w:rPr>
          <w:b/>
          <w:bCs/>
          <w:lang w:bidi="fa-IR"/>
        </w:rPr>
      </w:pPr>
      <w:r w:rsidRPr="00182985">
        <w:rPr>
          <w:b/>
          <w:bCs/>
          <w:rtl/>
          <w:lang w:bidi="fa-IR"/>
        </w:rPr>
        <w:t xml:space="preserve">2. </w:t>
      </w:r>
      <w:proofErr w:type="spellStart"/>
      <w:r w:rsidRPr="00182985">
        <w:rPr>
          <w:b/>
          <w:bCs/>
          <w:lang w:bidi="fa-IR"/>
        </w:rPr>
        <w:t>Abidin</w:t>
      </w:r>
      <w:proofErr w:type="spellEnd"/>
      <w:r w:rsidRPr="00182985">
        <w:rPr>
          <w:b/>
          <w:bCs/>
          <w:lang w:bidi="fa-IR"/>
        </w:rPr>
        <w:t xml:space="preserve"> NHZ, Lee CK, </w:t>
      </w:r>
      <w:proofErr w:type="spellStart"/>
      <w:r w:rsidRPr="00182985">
        <w:rPr>
          <w:b/>
          <w:bCs/>
          <w:lang w:bidi="fa-IR"/>
        </w:rPr>
        <w:t>Zakaria</w:t>
      </w:r>
      <w:proofErr w:type="spellEnd"/>
      <w:r w:rsidRPr="00182985">
        <w:rPr>
          <w:b/>
          <w:bCs/>
          <w:lang w:bidi="fa-IR"/>
        </w:rPr>
        <w:t xml:space="preserve"> SA, </w:t>
      </w:r>
      <w:proofErr w:type="spellStart"/>
      <w:r w:rsidRPr="00182985">
        <w:rPr>
          <w:b/>
          <w:bCs/>
          <w:lang w:bidi="fa-IR"/>
        </w:rPr>
        <w:t>Ramaiah</w:t>
      </w:r>
      <w:proofErr w:type="spellEnd"/>
      <w:r w:rsidRPr="00182985">
        <w:rPr>
          <w:b/>
          <w:bCs/>
          <w:lang w:bidi="fa-IR"/>
        </w:rPr>
        <w:t xml:space="preserve"> Y, </w:t>
      </w:r>
      <w:proofErr w:type="spellStart"/>
      <w:r w:rsidRPr="00182985">
        <w:rPr>
          <w:b/>
          <w:bCs/>
          <w:lang w:bidi="fa-IR"/>
        </w:rPr>
        <w:t>Hilmi</w:t>
      </w:r>
      <w:proofErr w:type="spellEnd"/>
    </w:p>
    <w:p w:rsidR="00182985" w:rsidRPr="00182985" w:rsidRDefault="00182985" w:rsidP="00182985">
      <w:pPr>
        <w:bidi/>
        <w:rPr>
          <w:b/>
          <w:bCs/>
          <w:lang w:bidi="fa-IR"/>
        </w:rPr>
      </w:pPr>
      <w:r w:rsidRPr="00182985">
        <w:rPr>
          <w:b/>
          <w:bCs/>
          <w:lang w:bidi="fa-IR"/>
        </w:rPr>
        <w:t>ZS, Maule SS. Clinical course and outcomes of</w:t>
      </w:r>
    </w:p>
    <w:p w:rsidR="00182985" w:rsidRPr="00182985" w:rsidRDefault="00182985" w:rsidP="00182985">
      <w:pPr>
        <w:bidi/>
        <w:rPr>
          <w:b/>
          <w:bCs/>
          <w:lang w:bidi="fa-IR"/>
        </w:rPr>
      </w:pPr>
      <w:proofErr w:type="gramStart"/>
      <w:r w:rsidRPr="00182985">
        <w:rPr>
          <w:b/>
          <w:bCs/>
          <w:lang w:bidi="fa-IR"/>
        </w:rPr>
        <w:t>ventilated</w:t>
      </w:r>
      <w:proofErr w:type="gramEnd"/>
      <w:r w:rsidRPr="00182985">
        <w:rPr>
          <w:b/>
          <w:bCs/>
          <w:lang w:bidi="fa-IR"/>
        </w:rPr>
        <w:t xml:space="preserve"> critically ill COVID-19 patients in</w:t>
      </w:r>
    </w:p>
    <w:p w:rsidR="00182985" w:rsidRPr="00182985" w:rsidRDefault="00182985" w:rsidP="00182985">
      <w:pPr>
        <w:bidi/>
        <w:rPr>
          <w:b/>
          <w:bCs/>
          <w:lang w:bidi="fa-IR"/>
        </w:rPr>
      </w:pPr>
      <w:proofErr w:type="gramStart"/>
      <w:r w:rsidRPr="00182985">
        <w:rPr>
          <w:b/>
          <w:bCs/>
          <w:lang w:bidi="fa-IR"/>
        </w:rPr>
        <w:t>Selangor state, Malaysia.</w:t>
      </w:r>
      <w:proofErr w:type="gramEnd"/>
      <w:r w:rsidRPr="00182985">
        <w:rPr>
          <w:b/>
          <w:bCs/>
          <w:lang w:bidi="fa-IR"/>
        </w:rPr>
        <w:t xml:space="preserve"> </w:t>
      </w:r>
      <w:proofErr w:type="gramStart"/>
      <w:r w:rsidRPr="00182985">
        <w:rPr>
          <w:b/>
          <w:bCs/>
          <w:lang w:bidi="fa-IR"/>
        </w:rPr>
        <w:t xml:space="preserve">J </w:t>
      </w:r>
      <w:proofErr w:type="spellStart"/>
      <w:r w:rsidRPr="00182985">
        <w:rPr>
          <w:b/>
          <w:bCs/>
          <w:lang w:bidi="fa-IR"/>
        </w:rPr>
        <w:t>Emerg</w:t>
      </w:r>
      <w:proofErr w:type="spellEnd"/>
      <w:r w:rsidRPr="00182985">
        <w:rPr>
          <w:b/>
          <w:bCs/>
          <w:lang w:bidi="fa-IR"/>
        </w:rPr>
        <w:t xml:space="preserve"> </w:t>
      </w:r>
      <w:proofErr w:type="spellStart"/>
      <w:r w:rsidRPr="00182985">
        <w:rPr>
          <w:b/>
          <w:bCs/>
          <w:lang w:bidi="fa-IR"/>
        </w:rPr>
        <w:t>Crit</w:t>
      </w:r>
      <w:proofErr w:type="spellEnd"/>
      <w:r w:rsidRPr="00182985">
        <w:rPr>
          <w:b/>
          <w:bCs/>
          <w:lang w:bidi="fa-IR"/>
        </w:rPr>
        <w:t xml:space="preserve"> Care Med</w:t>
      </w:r>
      <w:r w:rsidRPr="00182985">
        <w:rPr>
          <w:b/>
          <w:bCs/>
          <w:rtl/>
          <w:lang w:bidi="fa-IR"/>
        </w:rPr>
        <w:t>.</w:t>
      </w:r>
      <w:proofErr w:type="gramEnd"/>
    </w:p>
    <w:p w:rsidR="00182985" w:rsidRPr="00182985" w:rsidRDefault="00182985" w:rsidP="00182985">
      <w:pPr>
        <w:bidi/>
        <w:rPr>
          <w:b/>
          <w:bCs/>
          <w:lang w:bidi="fa-IR"/>
        </w:rPr>
      </w:pPr>
      <w:r w:rsidRPr="00182985">
        <w:rPr>
          <w:b/>
          <w:bCs/>
          <w:rtl/>
          <w:lang w:bidi="fa-IR"/>
        </w:rPr>
        <w:t xml:space="preserve">2021;5(6):1-7. </w:t>
      </w:r>
      <w:r w:rsidRPr="00182985">
        <w:rPr>
          <w:b/>
          <w:bCs/>
          <w:lang w:bidi="fa-IR"/>
        </w:rPr>
        <w:t>DOI: 10.21037/jeccm-20-82</w:t>
      </w:r>
    </w:p>
    <w:p w:rsidR="00182985" w:rsidRPr="00182985" w:rsidRDefault="00182985" w:rsidP="00182985">
      <w:pPr>
        <w:bidi/>
        <w:rPr>
          <w:b/>
          <w:bCs/>
          <w:lang w:bidi="fa-IR"/>
        </w:rPr>
      </w:pPr>
      <w:r w:rsidRPr="00182985">
        <w:rPr>
          <w:b/>
          <w:bCs/>
          <w:rtl/>
          <w:lang w:bidi="fa-IR"/>
        </w:rPr>
        <w:t xml:space="preserve">3. </w:t>
      </w:r>
      <w:proofErr w:type="spellStart"/>
      <w:r w:rsidRPr="00182985">
        <w:rPr>
          <w:b/>
          <w:bCs/>
          <w:lang w:bidi="fa-IR"/>
        </w:rPr>
        <w:t>Darif</w:t>
      </w:r>
      <w:proofErr w:type="spellEnd"/>
      <w:r w:rsidRPr="00182985">
        <w:rPr>
          <w:b/>
          <w:bCs/>
          <w:lang w:bidi="fa-IR"/>
        </w:rPr>
        <w:t xml:space="preserve"> D, </w:t>
      </w:r>
      <w:proofErr w:type="spellStart"/>
      <w:r w:rsidRPr="00182985">
        <w:rPr>
          <w:b/>
          <w:bCs/>
          <w:lang w:bidi="fa-IR"/>
        </w:rPr>
        <w:t>Hammi</w:t>
      </w:r>
      <w:proofErr w:type="spellEnd"/>
      <w:r w:rsidRPr="00182985">
        <w:rPr>
          <w:b/>
          <w:bCs/>
          <w:lang w:bidi="fa-IR"/>
        </w:rPr>
        <w:t xml:space="preserve"> I, </w:t>
      </w:r>
      <w:proofErr w:type="spellStart"/>
      <w:r w:rsidRPr="00182985">
        <w:rPr>
          <w:b/>
          <w:bCs/>
          <w:lang w:bidi="fa-IR"/>
        </w:rPr>
        <w:t>Kihel</w:t>
      </w:r>
      <w:proofErr w:type="spellEnd"/>
      <w:r w:rsidRPr="00182985">
        <w:rPr>
          <w:b/>
          <w:bCs/>
          <w:lang w:bidi="fa-IR"/>
        </w:rPr>
        <w:t xml:space="preserve"> A, </w:t>
      </w:r>
      <w:proofErr w:type="spellStart"/>
      <w:r w:rsidRPr="00182985">
        <w:rPr>
          <w:b/>
          <w:bCs/>
          <w:lang w:bidi="fa-IR"/>
        </w:rPr>
        <w:t>Saik</w:t>
      </w:r>
      <w:proofErr w:type="spellEnd"/>
      <w:r w:rsidRPr="00182985">
        <w:rPr>
          <w:b/>
          <w:bCs/>
          <w:lang w:bidi="fa-IR"/>
        </w:rPr>
        <w:t xml:space="preserve"> IEI, </w:t>
      </w:r>
      <w:proofErr w:type="spellStart"/>
      <w:r w:rsidRPr="00182985">
        <w:rPr>
          <w:b/>
          <w:bCs/>
          <w:lang w:bidi="fa-IR"/>
        </w:rPr>
        <w:t>Guessous</w:t>
      </w:r>
      <w:proofErr w:type="spellEnd"/>
      <w:r w:rsidRPr="00182985">
        <w:rPr>
          <w:b/>
          <w:bCs/>
          <w:lang w:bidi="fa-IR"/>
        </w:rPr>
        <w:t xml:space="preserve"> F</w:t>
      </w:r>
      <w:r w:rsidRPr="00182985">
        <w:rPr>
          <w:b/>
          <w:bCs/>
          <w:rtl/>
          <w:lang w:bidi="fa-IR"/>
        </w:rPr>
        <w:t>,</w:t>
      </w:r>
    </w:p>
    <w:p w:rsidR="00182985" w:rsidRPr="00182985" w:rsidRDefault="00182985" w:rsidP="00182985">
      <w:pPr>
        <w:bidi/>
        <w:rPr>
          <w:b/>
          <w:bCs/>
          <w:lang w:bidi="fa-IR"/>
        </w:rPr>
      </w:pPr>
      <w:proofErr w:type="spellStart"/>
      <w:r w:rsidRPr="00182985">
        <w:rPr>
          <w:b/>
          <w:bCs/>
          <w:lang w:bidi="fa-IR"/>
        </w:rPr>
        <w:t>Akarid</w:t>
      </w:r>
      <w:proofErr w:type="spellEnd"/>
      <w:r w:rsidRPr="00182985">
        <w:rPr>
          <w:b/>
          <w:bCs/>
          <w:lang w:bidi="fa-IR"/>
        </w:rPr>
        <w:t xml:space="preserve"> K. The pro-inflammatory cytokines in</w:t>
      </w:r>
    </w:p>
    <w:p w:rsidR="00182985" w:rsidRPr="00182985" w:rsidRDefault="00182985" w:rsidP="00182985">
      <w:pPr>
        <w:bidi/>
        <w:rPr>
          <w:b/>
          <w:bCs/>
          <w:lang w:bidi="fa-IR"/>
        </w:rPr>
      </w:pPr>
      <w:r w:rsidRPr="00182985">
        <w:rPr>
          <w:b/>
          <w:bCs/>
          <w:lang w:bidi="fa-IR"/>
        </w:rPr>
        <w:t>COVID-19 pathogenesis: What goes wrong</w:t>
      </w:r>
      <w:r w:rsidRPr="00182985">
        <w:rPr>
          <w:b/>
          <w:bCs/>
          <w:rtl/>
          <w:lang w:bidi="fa-IR"/>
        </w:rPr>
        <w:t>?</w:t>
      </w:r>
    </w:p>
    <w:p w:rsidR="00182985" w:rsidRPr="00182985" w:rsidRDefault="00182985" w:rsidP="00182985">
      <w:pPr>
        <w:bidi/>
        <w:rPr>
          <w:b/>
          <w:bCs/>
          <w:lang w:bidi="fa-IR"/>
        </w:rPr>
      </w:pPr>
      <w:proofErr w:type="spellStart"/>
      <w:r w:rsidRPr="00182985">
        <w:rPr>
          <w:b/>
          <w:bCs/>
          <w:lang w:bidi="fa-IR"/>
        </w:rPr>
        <w:t>Microb</w:t>
      </w:r>
      <w:proofErr w:type="spellEnd"/>
      <w:r w:rsidRPr="00182985">
        <w:rPr>
          <w:b/>
          <w:bCs/>
          <w:lang w:bidi="fa-IR"/>
        </w:rPr>
        <w:t xml:space="preserve"> </w:t>
      </w:r>
      <w:proofErr w:type="spellStart"/>
      <w:r w:rsidRPr="00182985">
        <w:rPr>
          <w:b/>
          <w:bCs/>
          <w:lang w:bidi="fa-IR"/>
        </w:rPr>
        <w:t>Pathog</w:t>
      </w:r>
      <w:proofErr w:type="spellEnd"/>
      <w:r w:rsidRPr="00182985">
        <w:rPr>
          <w:b/>
          <w:bCs/>
          <w:lang w:bidi="fa-IR"/>
        </w:rPr>
        <w:t>. 2021</w:t>
      </w:r>
      <w:proofErr w:type="gramStart"/>
      <w:r w:rsidRPr="00182985">
        <w:rPr>
          <w:b/>
          <w:bCs/>
          <w:lang w:bidi="fa-IR"/>
        </w:rPr>
        <w:t>;153:104799</w:t>
      </w:r>
      <w:proofErr w:type="gramEnd"/>
      <w:r w:rsidRPr="00182985">
        <w:rPr>
          <w:b/>
          <w:bCs/>
          <w:lang w:bidi="fa-IR"/>
        </w:rPr>
        <w:t>. [</w:t>
      </w:r>
      <w:proofErr w:type="spellStart"/>
      <w:r w:rsidRPr="00182985">
        <w:rPr>
          <w:b/>
          <w:bCs/>
          <w:lang w:bidi="fa-IR"/>
        </w:rPr>
        <w:t>PubMed</w:t>
      </w:r>
      <w:proofErr w:type="spellEnd"/>
      <w:r w:rsidRPr="00182985">
        <w:rPr>
          <w:b/>
          <w:bCs/>
          <w:rtl/>
          <w:lang w:bidi="fa-IR"/>
        </w:rPr>
        <w:t>]</w:t>
      </w:r>
    </w:p>
    <w:p w:rsidR="00182985" w:rsidRPr="00182985" w:rsidRDefault="00182985" w:rsidP="00182985">
      <w:pPr>
        <w:bidi/>
        <w:rPr>
          <w:b/>
          <w:bCs/>
          <w:lang w:bidi="fa-IR"/>
        </w:rPr>
      </w:pPr>
      <w:r w:rsidRPr="00182985">
        <w:rPr>
          <w:b/>
          <w:bCs/>
          <w:rtl/>
          <w:lang w:bidi="fa-IR"/>
        </w:rPr>
        <w:t xml:space="preserve">4. </w:t>
      </w:r>
      <w:proofErr w:type="spellStart"/>
      <w:r w:rsidRPr="00182985">
        <w:rPr>
          <w:b/>
          <w:bCs/>
          <w:lang w:bidi="fa-IR"/>
        </w:rPr>
        <w:t>Anand</w:t>
      </w:r>
      <w:proofErr w:type="spellEnd"/>
      <w:r w:rsidRPr="00182985">
        <w:rPr>
          <w:b/>
          <w:bCs/>
          <w:lang w:bidi="fa-IR"/>
        </w:rPr>
        <w:t xml:space="preserve"> D, Ray S, </w:t>
      </w:r>
      <w:proofErr w:type="spellStart"/>
      <w:r w:rsidRPr="00182985">
        <w:rPr>
          <w:b/>
          <w:bCs/>
          <w:lang w:bidi="fa-IR"/>
        </w:rPr>
        <w:t>Bhargava</w:t>
      </w:r>
      <w:proofErr w:type="spellEnd"/>
      <w:r w:rsidRPr="00182985">
        <w:rPr>
          <w:b/>
          <w:bCs/>
          <w:lang w:bidi="fa-IR"/>
        </w:rPr>
        <w:t xml:space="preserve"> S, Das S, </w:t>
      </w:r>
      <w:proofErr w:type="spellStart"/>
      <w:r w:rsidRPr="00182985">
        <w:rPr>
          <w:b/>
          <w:bCs/>
          <w:lang w:bidi="fa-IR"/>
        </w:rPr>
        <w:t>Garg</w:t>
      </w:r>
      <w:proofErr w:type="spellEnd"/>
      <w:r w:rsidRPr="00182985">
        <w:rPr>
          <w:b/>
          <w:bCs/>
          <w:lang w:bidi="fa-IR"/>
        </w:rPr>
        <w:t xml:space="preserve"> A, </w:t>
      </w:r>
      <w:proofErr w:type="spellStart"/>
      <w:r w:rsidRPr="00182985">
        <w:rPr>
          <w:b/>
          <w:bCs/>
          <w:lang w:bidi="fa-IR"/>
        </w:rPr>
        <w:t>Taneja</w:t>
      </w:r>
      <w:proofErr w:type="spellEnd"/>
    </w:p>
    <w:p w:rsidR="00182985" w:rsidRPr="00182985" w:rsidRDefault="00182985" w:rsidP="00182985">
      <w:pPr>
        <w:bidi/>
        <w:rPr>
          <w:b/>
          <w:bCs/>
          <w:lang w:bidi="fa-IR"/>
        </w:rPr>
      </w:pPr>
      <w:r w:rsidRPr="00182985">
        <w:rPr>
          <w:b/>
          <w:bCs/>
          <w:lang w:bidi="fa-IR"/>
        </w:rPr>
        <w:t xml:space="preserve">S, et al. </w:t>
      </w:r>
      <w:proofErr w:type="spellStart"/>
      <w:r w:rsidRPr="00182985">
        <w:rPr>
          <w:b/>
          <w:bCs/>
          <w:lang w:bidi="fa-IR"/>
        </w:rPr>
        <w:t>Proinflammatory</w:t>
      </w:r>
      <w:proofErr w:type="spellEnd"/>
      <w:r w:rsidRPr="00182985">
        <w:rPr>
          <w:b/>
          <w:bCs/>
          <w:lang w:bidi="fa-IR"/>
        </w:rPr>
        <w:t xml:space="preserve"> versus anti</w:t>
      </w:r>
      <w:r w:rsidRPr="00182985">
        <w:rPr>
          <w:b/>
          <w:bCs/>
          <w:rtl/>
          <w:lang w:bidi="fa-IR"/>
        </w:rPr>
        <w:t>-</w:t>
      </w:r>
    </w:p>
    <w:p w:rsidR="00182985" w:rsidRPr="00182985" w:rsidRDefault="00182985" w:rsidP="00182985">
      <w:pPr>
        <w:bidi/>
        <w:rPr>
          <w:b/>
          <w:bCs/>
          <w:lang w:bidi="fa-IR"/>
        </w:rPr>
      </w:pPr>
      <w:proofErr w:type="gramStart"/>
      <w:r w:rsidRPr="00182985">
        <w:rPr>
          <w:b/>
          <w:bCs/>
          <w:lang w:bidi="fa-IR"/>
        </w:rPr>
        <w:t>inflammatory</w:t>
      </w:r>
      <w:proofErr w:type="gramEnd"/>
      <w:r w:rsidRPr="00182985">
        <w:rPr>
          <w:b/>
          <w:bCs/>
          <w:lang w:bidi="fa-IR"/>
        </w:rPr>
        <w:t xml:space="preserve"> response in sepsis patients: looking</w:t>
      </w:r>
    </w:p>
    <w:p w:rsidR="00182985" w:rsidRPr="00182985" w:rsidRDefault="00182985" w:rsidP="00182985">
      <w:pPr>
        <w:bidi/>
        <w:rPr>
          <w:b/>
          <w:bCs/>
          <w:lang w:bidi="fa-IR"/>
        </w:rPr>
      </w:pPr>
      <w:proofErr w:type="gramStart"/>
      <w:r w:rsidRPr="00182985">
        <w:rPr>
          <w:b/>
          <w:bCs/>
          <w:lang w:bidi="fa-IR"/>
        </w:rPr>
        <w:t>at</w:t>
      </w:r>
      <w:proofErr w:type="gramEnd"/>
      <w:r w:rsidRPr="00182985">
        <w:rPr>
          <w:b/>
          <w:bCs/>
          <w:lang w:bidi="fa-IR"/>
        </w:rPr>
        <w:t xml:space="preserve"> the cytokines. </w:t>
      </w:r>
      <w:proofErr w:type="spellStart"/>
      <w:r w:rsidRPr="00182985">
        <w:rPr>
          <w:b/>
          <w:bCs/>
          <w:lang w:bidi="fa-IR"/>
        </w:rPr>
        <w:t>Crit</w:t>
      </w:r>
      <w:proofErr w:type="spellEnd"/>
      <w:r w:rsidRPr="00182985">
        <w:rPr>
          <w:b/>
          <w:bCs/>
          <w:lang w:bidi="fa-IR"/>
        </w:rPr>
        <w:t xml:space="preserve"> Care. 2014</w:t>
      </w:r>
      <w:proofErr w:type="gramStart"/>
      <w:r w:rsidRPr="00182985">
        <w:rPr>
          <w:b/>
          <w:bCs/>
          <w:lang w:bidi="fa-IR"/>
        </w:rPr>
        <w:t>;18</w:t>
      </w:r>
      <w:proofErr w:type="gramEnd"/>
      <w:r w:rsidRPr="00182985">
        <w:rPr>
          <w:b/>
          <w:bCs/>
          <w:lang w:bidi="fa-IR"/>
        </w:rPr>
        <w:t>(</w:t>
      </w:r>
      <w:proofErr w:type="spellStart"/>
      <w:r w:rsidRPr="00182985">
        <w:rPr>
          <w:b/>
          <w:bCs/>
          <w:lang w:bidi="fa-IR"/>
        </w:rPr>
        <w:t>Suppl</w:t>
      </w:r>
      <w:proofErr w:type="spellEnd"/>
      <w:r w:rsidRPr="00182985">
        <w:rPr>
          <w:b/>
          <w:bCs/>
          <w:lang w:bidi="fa-IR"/>
        </w:rPr>
        <w:t xml:space="preserve"> 2):P13</w:t>
      </w:r>
      <w:r w:rsidRPr="00182985">
        <w:rPr>
          <w:b/>
          <w:bCs/>
          <w:rtl/>
          <w:lang w:bidi="fa-IR"/>
        </w:rPr>
        <w:t>.</w:t>
      </w:r>
    </w:p>
    <w:p w:rsidR="00182985" w:rsidRPr="00E91CA9" w:rsidRDefault="00182985" w:rsidP="00182985">
      <w:pPr>
        <w:bidi/>
        <w:rPr>
          <w:color w:val="FF0000"/>
          <w:lang w:bidi="fa-IR"/>
        </w:rPr>
      </w:pPr>
      <w:r w:rsidRPr="00182985">
        <w:rPr>
          <w:b/>
          <w:bCs/>
          <w:rtl/>
          <w:lang w:bidi="fa-IR"/>
        </w:rPr>
        <w:t>[</w:t>
      </w:r>
      <w:r w:rsidRPr="00182985">
        <w:rPr>
          <w:b/>
          <w:bCs/>
          <w:lang w:bidi="fa-IR"/>
        </w:rPr>
        <w:t>PMC] DOI: 10.1186/cc14016</w:t>
      </w:r>
    </w:p>
    <w:p w:rsidR="005D14DC" w:rsidRPr="00E91CA9" w:rsidRDefault="005D14DC" w:rsidP="00E91CA9">
      <w:pPr>
        <w:bidi/>
        <w:rPr>
          <w:color w:val="FF0000"/>
          <w:rtl/>
          <w:lang w:bidi="fa-IR"/>
        </w:rPr>
      </w:pPr>
    </w:p>
    <w:sectPr w:rsidR="005D14DC" w:rsidRPr="00E91CA9" w:rsidSect="005A6AD7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FD1" w:rsidRDefault="00362FD1" w:rsidP="00AA6739">
      <w:pPr>
        <w:spacing w:after="0" w:line="240" w:lineRule="auto"/>
      </w:pPr>
      <w:r>
        <w:separator/>
      </w:r>
    </w:p>
  </w:endnote>
  <w:endnote w:type="continuationSeparator" w:id="0">
    <w:p w:rsidR="00362FD1" w:rsidRDefault="00362FD1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FD1" w:rsidRDefault="00362FD1" w:rsidP="00AA6739">
      <w:pPr>
        <w:spacing w:after="0" w:line="240" w:lineRule="auto"/>
      </w:pPr>
      <w:r>
        <w:separator/>
      </w:r>
    </w:p>
  </w:footnote>
  <w:footnote w:type="continuationSeparator" w:id="0">
    <w:p w:rsidR="00362FD1" w:rsidRDefault="00362FD1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430"/>
      <w:gridCol w:w="5400"/>
      <w:gridCol w:w="2335"/>
    </w:tblGrid>
    <w:tr w:rsidR="00AA6739" w:rsidTr="003610E7">
      <w:tc>
        <w:tcPr>
          <w:tcW w:w="2430" w:type="dxa"/>
        </w:tcPr>
        <w:p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:rsidR="00AA6739" w:rsidRDefault="00AA6739" w:rsidP="00AA6739">
    <w:pPr>
      <w:pStyle w:val="Header"/>
      <w:bidi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A6739"/>
    <w:rsid w:val="00012B7C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829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425AB"/>
    <w:rsid w:val="00271C6E"/>
    <w:rsid w:val="00275267"/>
    <w:rsid w:val="002F35E9"/>
    <w:rsid w:val="002F3851"/>
    <w:rsid w:val="00305361"/>
    <w:rsid w:val="003156AF"/>
    <w:rsid w:val="00350323"/>
    <w:rsid w:val="003610E7"/>
    <w:rsid w:val="00362FD1"/>
    <w:rsid w:val="00365CC2"/>
    <w:rsid w:val="00380CDE"/>
    <w:rsid w:val="003853E4"/>
    <w:rsid w:val="0046016C"/>
    <w:rsid w:val="004A6BFF"/>
    <w:rsid w:val="00515454"/>
    <w:rsid w:val="00517341"/>
    <w:rsid w:val="0055114C"/>
    <w:rsid w:val="0057587A"/>
    <w:rsid w:val="005A6AD7"/>
    <w:rsid w:val="005B34C7"/>
    <w:rsid w:val="005C75FF"/>
    <w:rsid w:val="005D0C3A"/>
    <w:rsid w:val="005D14DC"/>
    <w:rsid w:val="005E1B66"/>
    <w:rsid w:val="005E2B09"/>
    <w:rsid w:val="006141A5"/>
    <w:rsid w:val="006635FC"/>
    <w:rsid w:val="0067709B"/>
    <w:rsid w:val="006B6DBF"/>
    <w:rsid w:val="006D20F6"/>
    <w:rsid w:val="006F0B76"/>
    <w:rsid w:val="007F6C51"/>
    <w:rsid w:val="008C5909"/>
    <w:rsid w:val="008F4D7E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6ABF"/>
    <w:rsid w:val="00D77ACC"/>
    <w:rsid w:val="00E11918"/>
    <w:rsid w:val="00E21A45"/>
    <w:rsid w:val="00E44898"/>
    <w:rsid w:val="00E91CA9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0F6"/>
    <w:rPr>
      <w:rFonts w:ascii="Tahoma" w:hAnsi="Tahoma" w:cs="Tahoma"/>
      <w:sz w:val="16"/>
      <w:szCs w:val="16"/>
    </w:rPr>
  </w:style>
  <w:style w:type="character" w:customStyle="1" w:styleId="rynqvb">
    <w:name w:val="rynqvb"/>
    <w:basedOn w:val="DefaultParagraphFont"/>
    <w:rsid w:val="00012B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F7EB8-8D5C-4E65-A413-932E7ADC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App7</cp:lastModifiedBy>
  <cp:revision>2</cp:revision>
  <cp:lastPrinted>2024-11-24T08:04:00Z</cp:lastPrinted>
  <dcterms:created xsi:type="dcterms:W3CDTF">2025-12-23T07:58:00Z</dcterms:created>
  <dcterms:modified xsi:type="dcterms:W3CDTF">2025-12-23T07:58:00Z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