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B5AA" w14:textId="652E65C5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72F5008F" w14:textId="4B8268D9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="008473EB">
        <w:rPr>
          <w:rFonts w:hint="cs"/>
          <w:b/>
          <w:bCs/>
          <w:color w:val="FF0000"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0ACE23FD" w:rsidR="00F95520" w:rsidRPr="008473EB" w:rsidRDefault="008473EB" w:rsidP="00F95520">
      <w:pPr>
        <w:bidi/>
        <w:jc w:val="both"/>
        <w:rPr>
          <w:b/>
          <w:bCs/>
          <w:rtl/>
        </w:rPr>
      </w:pPr>
      <w:r w:rsidRPr="008473EB">
        <w:rPr>
          <w:b/>
          <w:bCs/>
          <w:rtl/>
        </w:rPr>
        <w:t>تع</w:t>
      </w:r>
      <w:r w:rsidRPr="008473EB">
        <w:rPr>
          <w:rFonts w:hint="cs"/>
          <w:b/>
          <w:bCs/>
          <w:rtl/>
        </w:rPr>
        <w:t>یی</w:t>
      </w:r>
      <w:r w:rsidRPr="008473EB">
        <w:rPr>
          <w:rFonts w:hint="eastAsia"/>
          <w:b/>
          <w:bCs/>
          <w:rtl/>
        </w:rPr>
        <w:t>ن</w:t>
      </w:r>
      <w:r w:rsidRPr="008473EB">
        <w:rPr>
          <w:b/>
          <w:bCs/>
          <w:rtl/>
        </w:rPr>
        <w:t xml:space="preserve"> ن</w:t>
      </w:r>
      <w:r w:rsidRPr="008473EB">
        <w:rPr>
          <w:rFonts w:hint="cs"/>
          <w:b/>
          <w:bCs/>
          <w:rtl/>
        </w:rPr>
        <w:t>ی</w:t>
      </w:r>
      <w:r w:rsidRPr="008473EB">
        <w:rPr>
          <w:rFonts w:hint="eastAsia"/>
          <w:b/>
          <w:bCs/>
          <w:rtl/>
        </w:rPr>
        <w:t>از</w:t>
      </w:r>
      <w:r w:rsidRPr="008473EB">
        <w:rPr>
          <w:b/>
          <w:bCs/>
          <w:rtl/>
        </w:rPr>
        <w:t xml:space="preserve"> به آپاندکتوم</w:t>
      </w:r>
      <w:r w:rsidRPr="008473EB">
        <w:rPr>
          <w:rFonts w:hint="cs"/>
          <w:b/>
          <w:bCs/>
          <w:rtl/>
        </w:rPr>
        <w:t>ی</w:t>
      </w:r>
      <w:r w:rsidRPr="008473EB">
        <w:rPr>
          <w:b/>
          <w:bCs/>
          <w:rtl/>
        </w:rPr>
        <w:t xml:space="preserve"> بر اساس جهش‌ها</w:t>
      </w:r>
      <w:r w:rsidRPr="008473EB">
        <w:rPr>
          <w:rFonts w:hint="cs"/>
          <w:b/>
          <w:bCs/>
          <w:rtl/>
        </w:rPr>
        <w:t>ی</w:t>
      </w:r>
      <w:r w:rsidRPr="008473EB">
        <w:rPr>
          <w:b/>
          <w:bCs/>
          <w:rtl/>
        </w:rPr>
        <w:t xml:space="preserve"> مختلف در ب</w:t>
      </w:r>
      <w:r w:rsidRPr="008473EB">
        <w:rPr>
          <w:rFonts w:hint="cs"/>
          <w:b/>
          <w:bCs/>
          <w:rtl/>
        </w:rPr>
        <w:t>ی</w:t>
      </w:r>
      <w:r w:rsidRPr="008473EB">
        <w:rPr>
          <w:rFonts w:hint="eastAsia"/>
          <w:b/>
          <w:bCs/>
          <w:rtl/>
        </w:rPr>
        <w:t>ماران</w:t>
      </w:r>
      <w:r w:rsidRPr="008473EB">
        <w:rPr>
          <w:b/>
          <w:bCs/>
          <w:rtl/>
        </w:rPr>
        <w:t xml:space="preserve"> مبتلا به تب مد</w:t>
      </w:r>
      <w:r w:rsidRPr="008473EB">
        <w:rPr>
          <w:rFonts w:hint="cs"/>
          <w:b/>
          <w:bCs/>
          <w:rtl/>
        </w:rPr>
        <w:t>ی</w:t>
      </w:r>
      <w:r w:rsidRPr="008473EB">
        <w:rPr>
          <w:rFonts w:hint="eastAsia"/>
          <w:b/>
          <w:bCs/>
          <w:rtl/>
        </w:rPr>
        <w:t>ترانه‌ا</w:t>
      </w:r>
      <w:r w:rsidRPr="008473EB">
        <w:rPr>
          <w:rFonts w:hint="cs"/>
          <w:b/>
          <w:bCs/>
          <w:rtl/>
        </w:rPr>
        <w:t>ی</w:t>
      </w:r>
      <w:r w:rsidRPr="008473EB">
        <w:rPr>
          <w:b/>
          <w:bCs/>
          <w:rtl/>
        </w:rPr>
        <w:t xml:space="preserve"> فام</w:t>
      </w:r>
      <w:r w:rsidRPr="008473EB">
        <w:rPr>
          <w:rFonts w:hint="cs"/>
          <w:b/>
          <w:bCs/>
          <w:rtl/>
        </w:rPr>
        <w:t>ی</w:t>
      </w:r>
      <w:r w:rsidRPr="008473EB">
        <w:rPr>
          <w:rFonts w:hint="eastAsia"/>
          <w:b/>
          <w:bCs/>
          <w:rtl/>
        </w:rPr>
        <w:t>ل</w:t>
      </w:r>
      <w:r w:rsidRPr="008473EB">
        <w:rPr>
          <w:rFonts w:hint="cs"/>
          <w:b/>
          <w:bCs/>
          <w:rtl/>
        </w:rPr>
        <w:t>ی</w:t>
      </w:r>
      <w:r w:rsidRPr="008473EB">
        <w:rPr>
          <w:rFonts w:hint="eastAsia"/>
          <w:b/>
          <w:bCs/>
          <w:rtl/>
        </w:rPr>
        <w:t>ال</w:t>
      </w:r>
      <w:r w:rsidRPr="008473EB">
        <w:rPr>
          <w:b/>
          <w:bCs/>
          <w:rtl/>
        </w:rPr>
        <w:t xml:space="preserve"> ز</w:t>
      </w:r>
      <w:r w:rsidRPr="008473EB">
        <w:rPr>
          <w:rFonts w:hint="cs"/>
          <w:b/>
          <w:bCs/>
          <w:rtl/>
        </w:rPr>
        <w:t>ی</w:t>
      </w:r>
      <w:r w:rsidRPr="008473EB">
        <w:rPr>
          <w:rFonts w:hint="eastAsia"/>
          <w:b/>
          <w:bCs/>
          <w:rtl/>
        </w:rPr>
        <w:t>ر</w:t>
      </w:r>
      <w:r w:rsidRPr="008473EB">
        <w:rPr>
          <w:b/>
          <w:bCs/>
          <w:rtl/>
        </w:rPr>
        <w:t xml:space="preserve"> </w:t>
      </w:r>
      <w:r w:rsidRPr="008473EB">
        <w:rPr>
          <w:b/>
          <w:bCs/>
          <w:rtl/>
          <w:lang w:bidi="fa-IR"/>
        </w:rPr>
        <w:t>۱۸</w:t>
      </w:r>
      <w:r w:rsidRPr="008473EB">
        <w:rPr>
          <w:b/>
          <w:bCs/>
          <w:rtl/>
        </w:rPr>
        <w:t xml:space="preserve"> سال</w:t>
      </w:r>
    </w:p>
    <w:p w14:paraId="5DADDD3C" w14:textId="64FD2A31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</w:p>
    <w:p w14:paraId="24439212" w14:textId="6ED63CD8" w:rsidR="00F95520" w:rsidRDefault="008473EB" w:rsidP="00F95520">
      <w:pPr>
        <w:bidi/>
        <w:rPr>
          <w:b/>
          <w:bCs/>
          <w:rtl/>
        </w:rPr>
      </w:pPr>
      <w:r>
        <w:rPr>
          <w:color w:val="00008B"/>
          <w:shd w:val="clear" w:color="auto" w:fill="ADD8E6"/>
          <w:rtl/>
        </w:rPr>
        <w:t>تب مدیترانه‌ای فامیلیال، آپاندیسیت، آپاندکتومی، جهش</w:t>
      </w:r>
    </w:p>
    <w:p w14:paraId="3C2367C8" w14:textId="4D881AE6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8473EB">
        <w:rPr>
          <w:rFonts w:hint="cs"/>
          <w:b/>
          <w:bCs/>
          <w:rtl/>
        </w:rPr>
        <w:t>:</w:t>
      </w:r>
    </w:p>
    <w:p w14:paraId="41585743" w14:textId="7B4EF846" w:rsidR="008473EB" w:rsidRPr="008473EB" w:rsidRDefault="008473EB" w:rsidP="008473EB">
      <w:pPr>
        <w:bidi/>
        <w:jc w:val="both"/>
        <w:rPr>
          <w:b/>
          <w:bCs/>
          <w:rtl/>
        </w:rPr>
      </w:pPr>
      <w:r w:rsidRPr="008473EB">
        <w:rPr>
          <w:rStyle w:val="rynqvb"/>
          <w:rFonts w:hint="cs"/>
          <w:b/>
          <w:bCs/>
          <w:rtl/>
          <w:lang w:bidi="fa-IR"/>
        </w:rPr>
        <w:t>جهش‌های ژنتیکی در تب مدیترانه‌ای فامیلیال</w:t>
      </w:r>
      <w:r w:rsidRPr="008473EB">
        <w:rPr>
          <w:rStyle w:val="rynqvb"/>
          <w:rFonts w:hint="cs"/>
          <w:b/>
          <w:bCs/>
          <w:lang w:bidi="fa-IR"/>
        </w:rPr>
        <w:t xml:space="preserve"> (FMF) </w:t>
      </w:r>
      <w:r w:rsidRPr="008473EB">
        <w:rPr>
          <w:rStyle w:val="rynqvb"/>
          <w:rFonts w:hint="cs"/>
          <w:b/>
          <w:bCs/>
          <w:rtl/>
          <w:lang w:bidi="fa-IR"/>
        </w:rPr>
        <w:t>مستقیماً باعث التهاب و فعال شدن سیستم ایمنی بدن می‌شوند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این التهابات اغلب در نواحی مختلف بدن، از جمله شکم، رخ می‌دهند و ممکن است شبیه علائم آپاندیسیت باشند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در بسیاری از موارد، این التهابات شکمی عود می‌کنند و گاهی اوقات، تشخیص اینکه آیا التهاب ناشی از آپاندیسیت است یا</w:t>
      </w:r>
      <w:r w:rsidRPr="008473EB">
        <w:rPr>
          <w:rStyle w:val="rynqvb"/>
          <w:rFonts w:hint="cs"/>
          <w:b/>
          <w:bCs/>
          <w:lang w:bidi="fa-IR"/>
        </w:rPr>
        <w:t xml:space="preserve"> FMF</w:t>
      </w:r>
      <w:r w:rsidRPr="008473EB">
        <w:rPr>
          <w:rStyle w:val="rynqvb"/>
          <w:rFonts w:hint="cs"/>
          <w:b/>
          <w:bCs/>
          <w:rtl/>
          <w:lang w:bidi="fa-IR"/>
        </w:rPr>
        <w:t>، برای پزشکان چالش برانگیز است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بنابراین، مطالعه حاضر برای پرداختن به این شکاف و با هدف تعیین همبستگی بین نوع جهش‌ها و تصمیم به انجام آپاندکتومی در بیماران زیر 18 سال مبتلا به</w:t>
      </w:r>
      <w:r w:rsidRPr="008473EB">
        <w:rPr>
          <w:rStyle w:val="rynqvb"/>
          <w:rFonts w:hint="cs"/>
          <w:b/>
          <w:bCs/>
          <w:lang w:bidi="fa-IR"/>
        </w:rPr>
        <w:t xml:space="preserve"> FMF </w:t>
      </w:r>
      <w:r w:rsidRPr="008473EB">
        <w:rPr>
          <w:rStyle w:val="rynqvb"/>
          <w:rFonts w:hint="cs"/>
          <w:b/>
          <w:bCs/>
          <w:rtl/>
          <w:lang w:bidi="fa-IR"/>
        </w:rPr>
        <w:t>انجام شد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این مطالعه توصیفی-مقطعی در دانشگاه علوم پزشکی اردبیل انجام شد و شامل بیماران مبتلا به تب مدیترانه‌ای فامیلیال بود که به بخش اورژانس بیمارستان کوثر اردبیل مراجعه کرده بودند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داده‌ها از پرونده‌های بالینی بیماران جمع‌آوری و به صورت سیستماتیک تجزیه و تحلیل شدند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بین مارس 2023 و سپتامبر 2024، 120 بیمار زیر 18 سال که به بخش اورژانس مراجعه کرده بودند، در این مطالعه گنجانده شدند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اطلاعات مربوط به سن، جنس، نوع جهش و سابقه جراحی قبلی جمع‌آوری شد و روابط بین متغیرهای جمعیت‌شناختی و بالینی با نتایج درمان ارزیابی ش</w:t>
      </w:r>
      <w:r>
        <w:rPr>
          <w:rStyle w:val="rynqvb"/>
          <w:rFonts w:hint="cs"/>
          <w:b/>
          <w:bCs/>
          <w:rtl/>
          <w:lang w:bidi="fa-IR"/>
        </w:rPr>
        <w:t>د.ا</w:t>
      </w:r>
      <w:r w:rsidRPr="008473EB">
        <w:rPr>
          <w:rStyle w:val="rynqvb"/>
          <w:rFonts w:hint="cs"/>
          <w:b/>
          <w:bCs/>
          <w:rtl/>
          <w:lang w:bidi="fa-IR"/>
        </w:rPr>
        <w:t>ز بین 120 بیمار مبتلا به</w:t>
      </w:r>
      <w:r w:rsidRPr="008473EB">
        <w:rPr>
          <w:rStyle w:val="rynqvb"/>
          <w:rFonts w:hint="cs"/>
          <w:b/>
          <w:bCs/>
          <w:lang w:bidi="fa-IR"/>
        </w:rPr>
        <w:t xml:space="preserve"> FMF</w:t>
      </w:r>
      <w:r w:rsidRPr="008473EB">
        <w:rPr>
          <w:rStyle w:val="rynqvb"/>
          <w:rFonts w:hint="cs"/>
          <w:b/>
          <w:bCs/>
          <w:rtl/>
          <w:lang w:bidi="fa-IR"/>
        </w:rPr>
        <w:t>، تنها 14 نفر (11.67</w:t>
      </w:r>
      <w:r w:rsidRPr="008473EB">
        <w:rPr>
          <w:rStyle w:val="rynqvb"/>
          <w:rFonts w:ascii="Times New Roman" w:hAnsi="Times New Roman" w:cs="Times New Roman" w:hint="cs"/>
          <w:b/>
          <w:bCs/>
          <w:rtl/>
          <w:lang w:bidi="fa-IR"/>
        </w:rPr>
        <w:t>٪</w:t>
      </w:r>
      <w:r w:rsidRPr="008473EB">
        <w:rPr>
          <w:rStyle w:val="rynqvb"/>
          <w:rFonts w:hint="cs"/>
          <w:b/>
          <w:bCs/>
          <w:rtl/>
          <w:lang w:bidi="fa-IR"/>
        </w:rPr>
        <w:t>) تحت عمل آپاندکتومی قرار گرفتند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بیماران بر اساس اینکه آیا تحت عمل آپاندکتومی قرار گرفته بودند یا خیر، به دو گروه تقسیم شدند و فراوانی آپاندکتومی بر اساس نوع جهش ژنتیکی مقایسه شد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نتایج نشان داد که هیچ تفاوت معنی‌داری بین دو گروه از نظر نوع جهش وجود ندارد</w:t>
      </w:r>
      <w:r w:rsidRPr="008473EB">
        <w:rPr>
          <w:rStyle w:val="rynqvb"/>
          <w:rFonts w:hint="cs"/>
          <w:b/>
          <w:bCs/>
          <w:lang w:bidi="fa-IR"/>
        </w:rPr>
        <w:t xml:space="preserve"> (P=0.7)</w:t>
      </w:r>
      <w:r w:rsidRPr="008473EB">
        <w:rPr>
          <w:rStyle w:val="rynqvb"/>
          <w:rFonts w:hint="cs"/>
          <w:b/>
          <w:bCs/>
          <w:rtl/>
          <w:lang w:bidi="fa-IR"/>
        </w:rPr>
        <w:t>، به این معنی که جهش‌های مختلف بر تصمیم به انجام آپاندکتومی در این بیماران تأثیری نداشته‌اند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این مطالعه نتیجه می‌گیرد که در بیماران مبتلا به تب مدیترانه‌ای فامیلیال، جهش‌های ژنتیکی مختلف تأثیر قابل توجهی بر تصمیم به انجام آپاندکتومی ندارند</w:t>
      </w:r>
      <w:r w:rsidRPr="008473EB">
        <w:rPr>
          <w:rStyle w:val="rynqvb"/>
          <w:rFonts w:hint="cs"/>
          <w:b/>
          <w:bCs/>
          <w:lang w:bidi="fa-IR"/>
        </w:rPr>
        <w:t>.</w:t>
      </w:r>
      <w:r w:rsidRPr="008473EB">
        <w:rPr>
          <w:rStyle w:val="hwtze"/>
          <w:rFonts w:hint="cs"/>
          <w:b/>
          <w:bCs/>
          <w:lang w:bidi="fa-IR"/>
        </w:rPr>
        <w:t xml:space="preserve"> </w:t>
      </w:r>
      <w:r w:rsidRPr="008473EB">
        <w:rPr>
          <w:rStyle w:val="rynqvb"/>
          <w:rFonts w:hint="cs"/>
          <w:b/>
          <w:bCs/>
          <w:rtl/>
          <w:lang w:bidi="fa-IR"/>
        </w:rPr>
        <w:t>این یافته‌ها اهمیت در نظر گرفتن سایر عوامل بالینی، مانند سابقه پزشکی، وضعیت ایمنی و علائم بالینی، هنگام تصمیم‌گیری در مورد درمان را برجسته می‌کند</w:t>
      </w:r>
      <w:r w:rsidRPr="008473EB">
        <w:rPr>
          <w:rStyle w:val="rynqvb"/>
          <w:rFonts w:hint="cs"/>
          <w:b/>
          <w:bCs/>
          <w:lang w:bidi="fa-IR"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7649F456" w14:textId="2A42E3B5" w:rsidR="00A2206A" w:rsidRPr="008473EB" w:rsidRDefault="008473EB" w:rsidP="008473EB">
      <w:pPr>
        <w:pStyle w:val="ListParagraph"/>
        <w:numPr>
          <w:ilvl w:val="0"/>
          <w:numId w:val="12"/>
        </w:numPr>
        <w:bidi/>
        <w:rPr>
          <w:rStyle w:val="rynqvb"/>
          <w:b/>
          <w:bCs/>
          <w:rtl/>
          <w:lang w:bidi="fa-IR"/>
        </w:rPr>
      </w:pPr>
      <w:r w:rsidRPr="008473EB">
        <w:rPr>
          <w:rStyle w:val="rynqvb"/>
          <w:rFonts w:hint="cs"/>
          <w:b/>
          <w:bCs/>
          <w:rtl/>
          <w:lang w:bidi="fa-IR"/>
        </w:rPr>
        <w:t>فراوانی آپاندکتومی بر اساس نوع جهش ژنتیکی در بیماران زیر 18 سال مبتلا به</w:t>
      </w:r>
      <w:r w:rsidRPr="008473EB">
        <w:rPr>
          <w:rStyle w:val="rynqvb"/>
          <w:rFonts w:hint="cs"/>
          <w:b/>
          <w:bCs/>
          <w:lang w:bidi="fa-IR"/>
        </w:rPr>
        <w:t xml:space="preserve"> FMF</w:t>
      </w:r>
    </w:p>
    <w:p w14:paraId="7386D6EB" w14:textId="41903F0B" w:rsidR="008473EB" w:rsidRPr="008473EB" w:rsidRDefault="008473EB" w:rsidP="008473EB">
      <w:pPr>
        <w:pStyle w:val="ListParagraph"/>
        <w:numPr>
          <w:ilvl w:val="0"/>
          <w:numId w:val="12"/>
        </w:numPr>
        <w:bidi/>
        <w:rPr>
          <w:b/>
          <w:bCs/>
        </w:rPr>
      </w:pPr>
      <w:r w:rsidRPr="008473EB">
        <w:rPr>
          <w:rStyle w:val="rynqvb"/>
          <w:rFonts w:hint="cs"/>
          <w:b/>
          <w:bCs/>
          <w:rtl/>
          <w:lang w:bidi="fa-IR"/>
        </w:rPr>
        <w:t xml:space="preserve">اهمیت در نظر گرفتن سایر عوامل بالینی، مانند سابقه پزشکی، وضعیت ایمنی و علائم بالینی، هنگام تصمیم‌گیری در مورد درمان 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lastRenderedPageBreak/>
        <w:t xml:space="preserve">محدودیت‌های شواهد چه بودند؟ </w:t>
      </w:r>
    </w:p>
    <w:p w14:paraId="353C6AE5" w14:textId="3BB6B84E" w:rsidR="00A2206A" w:rsidRPr="00A2206A" w:rsidRDefault="008473EB" w:rsidP="00A2206A">
      <w:pPr>
        <w:bidi/>
        <w:rPr>
          <w:b/>
          <w:bCs/>
        </w:rPr>
      </w:pPr>
      <w:r>
        <w:rPr>
          <w:rFonts w:hint="cs"/>
          <w:b/>
          <w:bCs/>
          <w:rtl/>
        </w:rPr>
        <w:t>محدودیت خاصی نداشت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12966528" w:rsidR="00F95520" w:rsidRPr="008473EB" w:rsidRDefault="008473EB" w:rsidP="000F3D7B">
      <w:pPr>
        <w:bidi/>
        <w:jc w:val="both"/>
        <w:rPr>
          <w:b/>
          <w:bCs/>
          <w:rtl/>
        </w:rPr>
      </w:pPr>
      <w:r w:rsidRPr="008473EB">
        <w:rPr>
          <w:rStyle w:val="rynqvb"/>
          <w:rFonts w:hint="cs"/>
          <w:b/>
          <w:bCs/>
          <w:rtl/>
          <w:lang w:bidi="fa-IR"/>
        </w:rPr>
        <w:t>بیماران زیر 18 سال مبتلا به</w:t>
      </w:r>
      <w:r w:rsidRPr="008473EB">
        <w:rPr>
          <w:rStyle w:val="rynqvb"/>
          <w:rFonts w:hint="cs"/>
          <w:b/>
          <w:bCs/>
          <w:lang w:bidi="fa-IR"/>
        </w:rPr>
        <w:t xml:space="preserve"> FMF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3FB062DE" w:rsidR="00F95520" w:rsidRDefault="008473E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خیر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tbl>
      <w:tblPr>
        <w:bidiVisual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 w:rsidR="008473EB" w:rsidRPr="008473EB" w14:paraId="46B8056A" w14:textId="77777777" w:rsidTr="008473EB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6A42C8C7" w14:textId="77777777" w:rsidR="008473EB" w:rsidRPr="008473EB" w:rsidRDefault="008473EB" w:rsidP="0084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000" w:type="pct"/>
            <w:vAlign w:val="center"/>
            <w:hideMark/>
          </w:tcPr>
          <w:p w14:paraId="1F1D6BA9" w14:textId="77777777" w:rsidR="008473EB" w:rsidRPr="008473EB" w:rsidRDefault="008473EB" w:rsidP="008473E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hyperlink r:id="rId8" w:history="1">
              <w:r w:rsidRPr="008473EB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Cs w:val="24"/>
                </w:rPr>
                <w:t>https://ijs.ir/article_731120_a5fecac9184aeb4d8110edb9d45dbff4.pdf</w:t>
              </w:r>
            </w:hyperlink>
          </w:p>
        </w:tc>
      </w:tr>
    </w:tbl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12D1DF7B" w:rsidR="00F95520" w:rsidRPr="0097793B" w:rsidRDefault="00972B0D" w:rsidP="00F95520">
      <w:pPr>
        <w:bidi/>
        <w:jc w:val="both"/>
        <w:rPr>
          <w:b/>
          <w:bCs/>
          <w:rtl/>
        </w:rPr>
      </w:pPr>
      <w:r>
        <w:t>Leila_mahboobi@gmail.com</w:t>
      </w:r>
    </w:p>
    <w:p w14:paraId="28DE0EA6" w14:textId="69451E2C" w:rsidR="002F3851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p w14:paraId="24ECA45C" w14:textId="77777777" w:rsidR="00972B0D" w:rsidRDefault="00972B0D" w:rsidP="00972B0D">
      <w:pPr>
        <w:bidi/>
        <w:jc w:val="right"/>
        <w:rPr>
          <w:rtl/>
        </w:rPr>
      </w:pPr>
      <w:r>
        <w:t xml:space="preserve">1. </w:t>
      </w:r>
      <w:proofErr w:type="spellStart"/>
      <w:r>
        <w:t>Salehzadeh</w:t>
      </w:r>
      <w:proofErr w:type="spellEnd"/>
      <w:r>
        <w:t xml:space="preserve"> F, Jafari Asl M, Hosseini Asl S, </w:t>
      </w:r>
      <w:proofErr w:type="spellStart"/>
      <w:r>
        <w:t>Jahangiri</w:t>
      </w:r>
      <w:proofErr w:type="spellEnd"/>
      <w:r>
        <w:t xml:space="preserve"> S, </w:t>
      </w:r>
      <w:proofErr w:type="spellStart"/>
      <w:r>
        <w:t>Habibzadeh</w:t>
      </w:r>
      <w:proofErr w:type="spellEnd"/>
      <w:r>
        <w:t xml:space="preserve"> S. MEFV Gene Profile in Northwest of Iran, Twelve Common MEFV Gene Mutations Analysis in 216 Patients with Familial Mediterranean Fever. Iranian journal of medical sciences. 2015; 40(1): 68-72.</w:t>
      </w:r>
    </w:p>
    <w:p w14:paraId="79489237" w14:textId="77777777" w:rsidR="00972B0D" w:rsidRDefault="00972B0D" w:rsidP="00972B0D">
      <w:pPr>
        <w:bidi/>
        <w:jc w:val="right"/>
        <w:rPr>
          <w:rtl/>
        </w:rPr>
      </w:pPr>
      <w:r>
        <w:t xml:space="preserve"> 2. </w:t>
      </w:r>
      <w:proofErr w:type="spellStart"/>
      <w:r>
        <w:t>Livneh</w:t>
      </w:r>
      <w:proofErr w:type="spellEnd"/>
      <w:r>
        <w:t xml:space="preserve"> A, </w:t>
      </w:r>
      <w:proofErr w:type="spellStart"/>
      <w:r>
        <w:t>Langevitz</w:t>
      </w:r>
      <w:proofErr w:type="spellEnd"/>
      <w:r>
        <w:t xml:space="preserve"> P. Diagnostic and treatment concerns in familial Mediterranean fever. Bailliere's best practice &amp; research Clinical rheumatology. 2000; 14(3): 477-98. </w:t>
      </w:r>
    </w:p>
    <w:p w14:paraId="30677AB6" w14:textId="77777777" w:rsidR="00972B0D" w:rsidRDefault="00972B0D" w:rsidP="00972B0D">
      <w:pPr>
        <w:bidi/>
        <w:jc w:val="right"/>
        <w:rPr>
          <w:rtl/>
        </w:rPr>
      </w:pPr>
      <w:r>
        <w:t xml:space="preserve">3. Sohar E, Gafni J, Pras M, Heller H. Familial Mediterranean fever. A survey of 470 cases and review of the literature. The American journal of medicine. 1967; 43(2): 227-53. </w:t>
      </w:r>
    </w:p>
    <w:p w14:paraId="14A75202" w14:textId="40524D2C" w:rsidR="00972B0D" w:rsidRPr="0066027C" w:rsidRDefault="00972B0D" w:rsidP="00972B0D">
      <w:pPr>
        <w:bidi/>
        <w:jc w:val="both"/>
        <w:rPr>
          <w:b/>
          <w:bCs/>
          <w:rtl/>
          <w:lang w:bidi="fa-IR"/>
        </w:rPr>
      </w:pPr>
      <w:r>
        <w:t>4. G</w:t>
      </w:r>
      <w:proofErr w:type="spellStart"/>
      <w:r>
        <w:t>attorno</w:t>
      </w:r>
      <w:proofErr w:type="spellEnd"/>
      <w:r>
        <w:t xml:space="preserve"> M, Hofer M, Federici S, </w:t>
      </w:r>
      <w:proofErr w:type="spellStart"/>
      <w:r>
        <w:t>Vanoni</w:t>
      </w:r>
      <w:proofErr w:type="spellEnd"/>
      <w:r>
        <w:t xml:space="preserve"> F, </w:t>
      </w:r>
      <w:proofErr w:type="spellStart"/>
      <w:r>
        <w:t>Bovis</w:t>
      </w:r>
      <w:proofErr w:type="spellEnd"/>
      <w:r>
        <w:t xml:space="preserve"> F, </w:t>
      </w:r>
      <w:proofErr w:type="spellStart"/>
      <w:r>
        <w:t>Aksentijevich</w:t>
      </w:r>
      <w:proofErr w:type="spellEnd"/>
      <w:r>
        <w:t xml:space="preserve"> I, et al. Classification criteria for autoinflammatory recurrent fevers. Annals of the rheumatic diseases. 2019; 78(8): 1025-32.</w:t>
      </w:r>
      <w:bookmarkEnd w:id="0"/>
      <w:bookmarkEnd w:id="1"/>
    </w:p>
    <w:sectPr w:rsidR="00972B0D" w:rsidRPr="0066027C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B420" w14:textId="77777777" w:rsidR="00627510" w:rsidRDefault="00627510" w:rsidP="00AA6739">
      <w:pPr>
        <w:spacing w:after="0" w:line="240" w:lineRule="auto"/>
      </w:pPr>
      <w:r>
        <w:separator/>
      </w:r>
    </w:p>
  </w:endnote>
  <w:endnote w:type="continuationSeparator" w:id="0">
    <w:p w14:paraId="71667197" w14:textId="77777777" w:rsidR="00627510" w:rsidRDefault="0062751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50B9" w14:textId="77777777" w:rsidR="00627510" w:rsidRDefault="00627510" w:rsidP="00AA6739">
      <w:pPr>
        <w:spacing w:after="0" w:line="240" w:lineRule="auto"/>
      </w:pPr>
      <w:r>
        <w:separator/>
      </w:r>
    </w:p>
  </w:footnote>
  <w:footnote w:type="continuationSeparator" w:id="0">
    <w:p w14:paraId="16C5E385" w14:textId="77777777" w:rsidR="00627510" w:rsidRDefault="0062751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8D57D8"/>
    <w:multiLevelType w:val="hybridMultilevel"/>
    <w:tmpl w:val="45E82758"/>
    <w:lvl w:ilvl="0" w:tplc="4B22C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3"/>
  </w:num>
  <w:num w:numId="2" w16cid:durableId="434204563">
    <w:abstractNumId w:val="8"/>
  </w:num>
  <w:num w:numId="3" w16cid:durableId="186450943">
    <w:abstractNumId w:val="5"/>
  </w:num>
  <w:num w:numId="4" w16cid:durableId="1463766210">
    <w:abstractNumId w:val="4"/>
  </w:num>
  <w:num w:numId="5" w16cid:durableId="796679159">
    <w:abstractNumId w:val="7"/>
  </w:num>
  <w:num w:numId="6" w16cid:durableId="1259367621">
    <w:abstractNumId w:val="11"/>
  </w:num>
  <w:num w:numId="7" w16cid:durableId="489322551">
    <w:abstractNumId w:val="10"/>
  </w:num>
  <w:num w:numId="8" w16cid:durableId="2071032043">
    <w:abstractNumId w:val="0"/>
  </w:num>
  <w:num w:numId="9" w16cid:durableId="977032044">
    <w:abstractNumId w:val="1"/>
  </w:num>
  <w:num w:numId="10" w16cid:durableId="1246109591">
    <w:abstractNumId w:val="6"/>
  </w:num>
  <w:num w:numId="11" w16cid:durableId="696321514">
    <w:abstractNumId w:val="2"/>
  </w:num>
  <w:num w:numId="12" w16cid:durableId="1384334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51B93"/>
    <w:rsid w:val="0057587A"/>
    <w:rsid w:val="005A6AD7"/>
    <w:rsid w:val="005B34C7"/>
    <w:rsid w:val="005C75FF"/>
    <w:rsid w:val="005D14DC"/>
    <w:rsid w:val="005E1B66"/>
    <w:rsid w:val="005E2B09"/>
    <w:rsid w:val="00604644"/>
    <w:rsid w:val="006141A5"/>
    <w:rsid w:val="00627510"/>
    <w:rsid w:val="006635FC"/>
    <w:rsid w:val="0067709B"/>
    <w:rsid w:val="006B6DBF"/>
    <w:rsid w:val="006F0B76"/>
    <w:rsid w:val="007F6C51"/>
    <w:rsid w:val="008335EE"/>
    <w:rsid w:val="008473EB"/>
    <w:rsid w:val="008C5909"/>
    <w:rsid w:val="008F4D7E"/>
    <w:rsid w:val="00944340"/>
    <w:rsid w:val="00965D68"/>
    <w:rsid w:val="00970918"/>
    <w:rsid w:val="00972B0D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75F7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customStyle="1" w:styleId="hwtze">
    <w:name w:val="hwtze"/>
    <w:basedOn w:val="DefaultParagraphFont"/>
    <w:rsid w:val="008473EB"/>
  </w:style>
  <w:style w:type="character" w:customStyle="1" w:styleId="rynqvb">
    <w:name w:val="rynqvb"/>
    <w:basedOn w:val="DefaultParagraphFont"/>
    <w:rsid w:val="0084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.arums.ac.ir/general/cartable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dga</cp:lastModifiedBy>
  <cp:revision>2</cp:revision>
  <cp:lastPrinted>2024-11-24T08:04:00Z</cp:lastPrinted>
  <dcterms:created xsi:type="dcterms:W3CDTF">2026-01-01T11:31:00Z</dcterms:created>
  <dcterms:modified xsi:type="dcterms:W3CDTF">2026-01-01T11:31:00Z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