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B5AA" w14:textId="652E65C5" w:rsidR="00F21F89" w:rsidRPr="002A5614" w:rsidRDefault="002F3851" w:rsidP="00F21F89">
      <w:pPr>
        <w:bidi/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</w:p>
    <w:p w14:paraId="768746D1" w14:textId="5E5E15A6" w:rsidR="002F3851" w:rsidRPr="0066027C" w:rsidRDefault="002F3851" w:rsidP="002F3851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</w:p>
    <w:p w14:paraId="3EB4AD3F" w14:textId="7D4C46FE" w:rsidR="002F3851" w:rsidRPr="0066027C" w:rsidRDefault="002F3851" w:rsidP="002F3851">
      <w:pPr>
        <w:bidi/>
        <w:rPr>
          <w:b/>
          <w:bCs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2891E666" w14:textId="77777777" w:rsidR="009E4F82" w:rsidRDefault="009E4F82" w:rsidP="002F3851">
      <w:pPr>
        <w:bidi/>
        <w:rPr>
          <w:b/>
          <w:bCs/>
          <w:rtl/>
        </w:rPr>
      </w:pPr>
    </w:p>
    <w:p w14:paraId="72F5008F" w14:textId="7E1700C0" w:rsidR="002F3851" w:rsidRDefault="002F3851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عنوان پیام پژوهشی</w:t>
      </w:r>
      <w:r w:rsidR="0097793B">
        <w:rPr>
          <w:rFonts w:hint="cs"/>
          <w:b/>
          <w:bCs/>
          <w:rtl/>
        </w:rPr>
        <w:t>:</w:t>
      </w:r>
      <w:r w:rsidR="000D10D5">
        <w:rPr>
          <w:rFonts w:hint="cs"/>
          <w:b/>
          <w:bCs/>
          <w:rtl/>
        </w:rPr>
        <w:t xml:space="preserve"> </w:t>
      </w:r>
    </w:p>
    <w:p w14:paraId="709318A4" w14:textId="4AE31CC9" w:rsidR="00F95520" w:rsidRPr="000D10D5" w:rsidRDefault="00E440B7" w:rsidP="00F95520">
      <w:pPr>
        <w:bidi/>
        <w:jc w:val="both"/>
        <w:rPr>
          <w:rtl/>
        </w:rPr>
      </w:pPr>
      <w:r>
        <w:rPr>
          <w:color w:val="00008B"/>
          <w:shd w:val="clear" w:color="auto" w:fill="ADD8E6"/>
          <w:rtl/>
        </w:rPr>
        <w:t>ارتباط بین استفاده از صفحه نمایش و چاقی شکمی در کودکان و نوجوانان: یک بررسی سیستماتیک و متاآنالیز</w:t>
      </w:r>
    </w:p>
    <w:p w14:paraId="5DADDD3C" w14:textId="55F1B71F" w:rsidR="000D10D5" w:rsidRDefault="000D10D5" w:rsidP="00F9552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 </w:t>
      </w:r>
      <w:r w:rsidR="00E440B7">
        <w:rPr>
          <w:rFonts w:hint="cs"/>
          <w:b/>
          <w:bCs/>
          <w:color w:val="FF0000"/>
          <w:rtl/>
        </w:rPr>
        <w:t>:</w:t>
      </w:r>
      <w:r>
        <w:rPr>
          <w:rFonts w:hint="cs"/>
          <w:b/>
          <w:bCs/>
          <w:rtl/>
        </w:rPr>
        <w:t xml:space="preserve"> </w:t>
      </w:r>
    </w:p>
    <w:p w14:paraId="02D7B8AC" w14:textId="6E8082E9" w:rsidR="00F95520" w:rsidRPr="000D10D5" w:rsidRDefault="00E440B7" w:rsidP="00F95520">
      <w:pPr>
        <w:bidi/>
        <w:rPr>
          <w:rtl/>
        </w:rPr>
      </w:pPr>
      <w:r>
        <w:rPr>
          <w:rStyle w:val="rynqvb"/>
          <w:rFonts w:hint="cs"/>
          <w:rtl/>
          <w:lang w:bidi="fa-IR"/>
        </w:rPr>
        <w:t>چاقی مرکزی، چاقی شکمی، زمان استفاده از صفحه نمایش، تلویزیون، بازی‌های ویدیویی، کامپیوتر شخصی</w:t>
      </w:r>
    </w:p>
    <w:p w14:paraId="374091E0" w14:textId="591C942F" w:rsidR="00F95520" w:rsidRDefault="002F3851" w:rsidP="00E440B7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  <w:r w:rsidR="00E440B7">
        <w:rPr>
          <w:rFonts w:hint="cs"/>
          <w:b/>
          <w:bCs/>
          <w:rtl/>
        </w:rPr>
        <w:t>:</w:t>
      </w:r>
    </w:p>
    <w:p w14:paraId="667696D1" w14:textId="34528C17" w:rsidR="00E440B7" w:rsidRDefault="00E440B7" w:rsidP="00E440B7">
      <w:pPr>
        <w:bidi/>
        <w:jc w:val="both"/>
        <w:rPr>
          <w:b/>
          <w:bCs/>
          <w:rtl/>
        </w:rPr>
      </w:pPr>
      <w:r>
        <w:rPr>
          <w:rStyle w:val="rynqvb"/>
          <w:rFonts w:hint="cs"/>
          <w:rtl/>
          <w:lang w:bidi="fa-IR"/>
        </w:rPr>
        <w:t>در حال حاضر، هیچ مطالعه‌ی جامعی که ارتباط بین چاقی شکمی و زمان استفاده از صفحه نمایش را ارزیابی کند، وجود ندارد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این مرور سیستماتیک و متاآنالیز با هدف خلاصه کردن نتایج مطالعاتی انجام شد که ارتباط بین زمان استفاده از صفحه نمایش و چاقی شکمی را در بین کودکان و نوجوانان ارزیابی می‌کردند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برای این منظور، ما یک جستجوی سیستماتیک در سه پایگاه داده الکترونیکی، از جمله</w:t>
      </w:r>
      <w:r>
        <w:rPr>
          <w:rStyle w:val="rynqvb"/>
          <w:rFonts w:hint="cs"/>
          <w:lang w:bidi="fa-IR"/>
        </w:rPr>
        <w:t xml:space="preserve"> Scopus</w:t>
      </w:r>
      <w:r>
        <w:rPr>
          <w:rStyle w:val="rynqvb"/>
          <w:rFonts w:hint="cs"/>
          <w:rtl/>
          <w:lang w:bidi="fa-IR"/>
        </w:rPr>
        <w:t xml:space="preserve">، </w:t>
      </w:r>
      <w:r>
        <w:rPr>
          <w:rStyle w:val="rynqvb"/>
          <w:rFonts w:hint="cs"/>
          <w:lang w:bidi="fa-IR"/>
        </w:rPr>
        <w:t xml:space="preserve">PubMed </w:t>
      </w:r>
      <w:r>
        <w:rPr>
          <w:rStyle w:val="rynqvb"/>
          <w:rFonts w:hint="cs"/>
          <w:rtl/>
          <w:lang w:bidi="fa-IR"/>
        </w:rPr>
        <w:t>و</w:t>
      </w:r>
      <w:r>
        <w:rPr>
          <w:rStyle w:val="rynqvb"/>
          <w:rFonts w:hint="cs"/>
          <w:lang w:bidi="fa-IR"/>
        </w:rPr>
        <w:t xml:space="preserve"> Embase</w:t>
      </w:r>
      <w:r>
        <w:rPr>
          <w:rStyle w:val="rynqvb"/>
          <w:rFonts w:hint="cs"/>
          <w:rtl/>
          <w:lang w:bidi="fa-IR"/>
        </w:rPr>
        <w:t>، برای بازیابی مطالعات مرتبط تا مارس 2021 انجام دادیم. 9 مطالعه واجد شرایط برای ورود به متاآنالیز بودند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هیچ ارتباطی بین احتمال چاقی شکمی و زمان استفاده از صفحه نمایش وجود نداشت [نسبت شانس</w:t>
      </w:r>
      <w:r>
        <w:rPr>
          <w:rStyle w:val="rynqvb"/>
          <w:rFonts w:hint="cs"/>
          <w:lang w:bidi="fa-IR"/>
        </w:rPr>
        <w:t xml:space="preserve"> (OR) 1.136</w:t>
      </w:r>
      <w:r>
        <w:rPr>
          <w:rStyle w:val="rynqvb"/>
          <w:rFonts w:hint="cs"/>
          <w:rtl/>
          <w:lang w:bidi="fa-IR"/>
        </w:rPr>
        <w:t>؛</w:t>
      </w:r>
      <w:r>
        <w:rPr>
          <w:rStyle w:val="hwtze"/>
          <w:rFonts w:hint="cs"/>
          <w:rtl/>
          <w:lang w:bidi="fa-IR"/>
        </w:rPr>
        <w:t xml:space="preserve"> </w:t>
      </w:r>
      <w:r>
        <w:rPr>
          <w:rStyle w:val="rynqvb"/>
          <w:rFonts w:hint="cs"/>
          <w:lang w:bidi="fa-IR"/>
        </w:rPr>
        <w:t>95% CI 0.965–1.337</w:t>
      </w:r>
      <w:r>
        <w:rPr>
          <w:rStyle w:val="rynqvb"/>
          <w:rFonts w:hint="cs"/>
          <w:rtl/>
          <w:lang w:bidi="fa-IR"/>
        </w:rPr>
        <w:t>؛</w:t>
      </w:r>
      <w:r>
        <w:rPr>
          <w:rStyle w:val="hwtze"/>
          <w:rFonts w:hint="cs"/>
          <w:rtl/>
          <w:lang w:bidi="fa-IR"/>
        </w:rPr>
        <w:t xml:space="preserve"> </w:t>
      </w:r>
      <w:r>
        <w:rPr>
          <w:rStyle w:val="rynqvb"/>
          <w:rFonts w:hint="cs"/>
          <w:lang w:bidi="fa-IR"/>
        </w:rPr>
        <w:t>P=0.125]</w:t>
      </w:r>
      <w:r>
        <w:rPr>
          <w:rStyle w:val="rynqvb"/>
          <w:rFonts w:hint="cs"/>
          <w:rtl/>
          <w:lang w:bidi="fa-IR"/>
        </w:rPr>
        <w:t>؛</w:t>
      </w:r>
      <w:r>
        <w:rPr>
          <w:rStyle w:val="hwtze"/>
          <w:rFonts w:hint="cs"/>
          <w:rtl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با این حال، دور کمر</w:t>
      </w:r>
      <w:r>
        <w:rPr>
          <w:rStyle w:val="rynqvb"/>
          <w:rFonts w:hint="cs"/>
          <w:lang w:bidi="fa-IR"/>
        </w:rPr>
        <w:t xml:space="preserve"> (WC) </w:t>
      </w:r>
      <w:r>
        <w:rPr>
          <w:rStyle w:val="rynqvb"/>
          <w:rFonts w:hint="cs"/>
          <w:rtl/>
          <w:lang w:bidi="fa-IR"/>
        </w:rPr>
        <w:t>در افرادی که بیشترین زمان استفاده از صفحه نمایش را داشتند، 1.23 سانتی‌متر بیشتر از افرادی بود که در دسته‌ی کمترین زمان استفاده از صفحه نمایش قرار داشتند [اختلاف میانگین وزنی</w:t>
      </w:r>
      <w:r>
        <w:rPr>
          <w:rStyle w:val="rynqvb"/>
          <w:rFonts w:hint="cs"/>
          <w:lang w:bidi="fa-IR"/>
        </w:rPr>
        <w:t xml:space="preserve"> (WMD) = 1.23</w:t>
      </w:r>
      <w:r>
        <w:rPr>
          <w:rStyle w:val="rynqvb"/>
          <w:rFonts w:hint="cs"/>
          <w:rtl/>
          <w:lang w:bidi="fa-IR"/>
        </w:rPr>
        <w:t>؛</w:t>
      </w:r>
      <w:r>
        <w:rPr>
          <w:rStyle w:val="hwtze"/>
          <w:rFonts w:hint="cs"/>
          <w:rtl/>
          <w:lang w:bidi="fa-IR"/>
        </w:rPr>
        <w:t xml:space="preserve"> </w:t>
      </w:r>
      <w:r>
        <w:rPr>
          <w:rStyle w:val="rynqvb"/>
          <w:rFonts w:hint="cs"/>
          <w:lang w:bidi="fa-IR"/>
        </w:rPr>
        <w:t>95% CI 0.342–2.112</w:t>
      </w:r>
      <w:r>
        <w:rPr>
          <w:rStyle w:val="rynqvb"/>
          <w:rFonts w:hint="cs"/>
          <w:rtl/>
          <w:lang w:bidi="fa-IR"/>
        </w:rPr>
        <w:t>؛</w:t>
      </w:r>
      <w:r>
        <w:rPr>
          <w:rStyle w:val="hwtze"/>
          <w:rFonts w:hint="cs"/>
          <w:rtl/>
          <w:lang w:bidi="fa-IR"/>
        </w:rPr>
        <w:t xml:space="preserve"> </w:t>
      </w:r>
      <w:r>
        <w:rPr>
          <w:rStyle w:val="rynqvb"/>
          <w:rFonts w:hint="cs"/>
          <w:lang w:bidi="fa-IR"/>
        </w:rPr>
        <w:t>P=0.007</w:t>
      </w:r>
      <w:r>
        <w:rPr>
          <w:rStyle w:val="rynqvb"/>
          <w:rFonts w:hint="cs"/>
          <w:rtl/>
          <w:lang w:bidi="fa-IR"/>
        </w:rPr>
        <w:t>؛</w:t>
      </w:r>
      <w:r>
        <w:rPr>
          <w:rStyle w:val="hwtze"/>
          <w:rFonts w:hint="cs"/>
          <w:rtl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شکل 3</w:t>
      </w:r>
      <w:r>
        <w:rPr>
          <w:rStyle w:val="rynqvb"/>
          <w:rFonts w:hint="cs"/>
          <w:lang w:bidi="fa-IR"/>
        </w:rPr>
        <w:t>].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علاوه بر این، منابع احتمالی ناهمگونی در مطالعات گنجانده شده، قاره و اندازه نمونه بودند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هیچ مدرکی دال بر سوگیری انتشار گزارش نشد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برای اولین بار، بررسی سیستماتیک و متاآنالیز فعلی نشان داد که افرادی که بیشترین زمان را صرف صفحه نمایش می‌کنند، در مقایسه با افرادی که کمترین زمان را صرف صفحه نمایش می‌کنند، دور کمر بالاتری دارند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اگرچه، هیچ ارتباطی بین احتمال چاقی مرکزی و زمان صرف شده برای صفحه نمایش وجود نداشت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با توجه به طراحی مشاهده‌ای مطالعات گنجانده شده، استنباط رابطه علت و معلولی غیرممکن است</w:t>
      </w:r>
      <w:r>
        <w:rPr>
          <w:rStyle w:val="rynqvb"/>
          <w:rFonts w:hint="cs"/>
          <w:lang w:bidi="fa-IR"/>
        </w:rPr>
        <w:t>.</w:t>
      </w:r>
      <w:r>
        <w:rPr>
          <w:rStyle w:val="hwtze"/>
          <w:rFonts w:hint="cs"/>
          <w:lang w:bidi="fa-IR"/>
        </w:rPr>
        <w:t xml:space="preserve"> </w:t>
      </w:r>
      <w:r>
        <w:rPr>
          <w:rStyle w:val="rynqvb"/>
          <w:rFonts w:hint="cs"/>
          <w:rtl/>
          <w:lang w:bidi="fa-IR"/>
        </w:rPr>
        <w:t>بنابراین، مطالعات مداخله‌ای و طولی بیشتر برای روشن‌تر شدن علیت این موارد ضروری است</w:t>
      </w:r>
      <w:r>
        <w:rPr>
          <w:rStyle w:val="rynqvb"/>
          <w:rFonts w:hint="cs"/>
          <w:lang w:bidi="fa-IR"/>
        </w:rPr>
        <w:t>.</w:t>
      </w: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7649F456" w14:textId="0CC13AA4" w:rsidR="00A2206A" w:rsidRDefault="00E440B7" w:rsidP="00A2206A">
      <w:pPr>
        <w:bidi/>
        <w:rPr>
          <w:b/>
          <w:bCs/>
        </w:rPr>
      </w:pPr>
      <w:r>
        <w:rPr>
          <w:rStyle w:val="rynqvb"/>
          <w:rFonts w:hint="cs"/>
          <w:rtl/>
          <w:lang w:bidi="fa-IR"/>
        </w:rPr>
        <w:t>افرادی که بیشترین زمان را صرف صفحه نمایش می‌کنند، در مقایسه با افرادی که کمترین زمان را صرف صفحه نمایش می‌کنند، دور کمر بالاتری دارند</w:t>
      </w:r>
    </w:p>
    <w:p w14:paraId="1840F314" w14:textId="616F20C7" w:rsidR="00A2206A" w:rsidRDefault="00A2206A" w:rsidP="00A2206A">
      <w:pPr>
        <w:bidi/>
        <w:rPr>
          <w:b/>
          <w:bCs/>
          <w:rtl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  <w:r w:rsidR="00E440B7">
        <w:rPr>
          <w:rFonts w:hint="cs"/>
          <w:b/>
          <w:bCs/>
          <w:rtl/>
        </w:rPr>
        <w:t>محدودیت خاصی نداشت.</w:t>
      </w:r>
    </w:p>
    <w:p w14:paraId="12D3F896" w14:textId="3F29D9B5" w:rsidR="002F3851" w:rsidRPr="0097793B" w:rsidRDefault="002F3851" w:rsidP="00F95520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lastRenderedPageBreak/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241EDD1D" w14:textId="05785D05" w:rsidR="00F95520" w:rsidRDefault="00E440B7" w:rsidP="000F3D7B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کودکان و نوجوانان</w:t>
      </w:r>
    </w:p>
    <w:p w14:paraId="042E26B8" w14:textId="4C6A467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2FB8D561" w:rsidR="00F95520" w:rsidRDefault="00E440B7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نخیر</w:t>
      </w: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2A94051D" w14:textId="77777777" w:rsidR="00F95520" w:rsidRPr="00AA7CAA" w:rsidRDefault="00F95520" w:rsidP="00F95520">
      <w:pPr>
        <w:bidi/>
        <w:jc w:val="both"/>
        <w:rPr>
          <w:rtl/>
        </w:rPr>
      </w:pPr>
    </w:p>
    <w:p w14:paraId="79901E0F" w14:textId="528395FA" w:rsidR="002F3851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2121A833" w:rsidR="00F95520" w:rsidRPr="0097793B" w:rsidRDefault="00E440B7" w:rsidP="00F95520">
      <w:pPr>
        <w:bidi/>
        <w:jc w:val="both"/>
        <w:rPr>
          <w:b/>
          <w:bCs/>
          <w:rtl/>
        </w:rPr>
      </w:pPr>
      <w:r w:rsidRPr="00E440B7">
        <w:rPr>
          <w:b/>
          <w:bCs/>
        </w:rPr>
        <w:t>dr.hadi.gerami@gmail.com</w:t>
      </w:r>
    </w:p>
    <w:p w14:paraId="1DF90D9F" w14:textId="0F030F13" w:rsidR="00F95520" w:rsidRDefault="002F3851" w:rsidP="00E27D2D">
      <w:pPr>
        <w:bidi/>
        <w:rPr>
          <w:rtl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End w:id="0"/>
      <w:r w:rsidR="00F95520">
        <w:rPr>
          <w:rFonts w:hint="cs"/>
          <w:rtl/>
        </w:rPr>
        <w:t>.</w:t>
      </w:r>
    </w:p>
    <w:p w14:paraId="4EB43684" w14:textId="30ED02D0" w:rsidR="00E27D2D" w:rsidRDefault="00E27D2D" w:rsidP="00E27D2D">
      <w:r>
        <w:rPr>
          <w:rtl/>
        </w:rPr>
        <w:t>1</w:t>
      </w:r>
      <w:r>
        <w:t xml:space="preserve">. </w:t>
      </w:r>
      <w:proofErr w:type="spellStart"/>
      <w:r>
        <w:t>Górnicka</w:t>
      </w:r>
      <w:proofErr w:type="spellEnd"/>
      <w:r>
        <w:t xml:space="preserve"> M, </w:t>
      </w:r>
      <w:proofErr w:type="spellStart"/>
      <w:r>
        <w:t>Hamulka</w:t>
      </w:r>
      <w:proofErr w:type="spellEnd"/>
      <w:r>
        <w:t xml:space="preserve"> J, </w:t>
      </w:r>
      <w:proofErr w:type="spellStart"/>
      <w:r>
        <w:t>Wadolowska</w:t>
      </w:r>
      <w:proofErr w:type="spellEnd"/>
      <w:r>
        <w:t xml:space="preserve"> L, </w:t>
      </w:r>
      <w:proofErr w:type="spellStart"/>
      <w:r>
        <w:t>Kowalkowska</w:t>
      </w:r>
      <w:proofErr w:type="spellEnd"/>
      <w:r>
        <w:t xml:space="preserve"> J, </w:t>
      </w:r>
      <w:proofErr w:type="spellStart"/>
      <w:r>
        <w:t>Kostyra</w:t>
      </w:r>
      <w:proofErr w:type="spellEnd"/>
      <w:r>
        <w:t xml:space="preserve"> </w:t>
      </w:r>
      <w:proofErr w:type="spellStart"/>
      <w:proofErr w:type="gramStart"/>
      <w:r>
        <w:t>E,Tomaszewska</w:t>
      </w:r>
      <w:proofErr w:type="spellEnd"/>
      <w:proofErr w:type="gramEnd"/>
      <w:r>
        <w:t xml:space="preserve"> M, </w:t>
      </w:r>
      <w:proofErr w:type="spellStart"/>
      <w:r>
        <w:t>Czeczelewski</w:t>
      </w:r>
      <w:proofErr w:type="spellEnd"/>
      <w:r>
        <w:t xml:space="preserve"> J, </w:t>
      </w:r>
      <w:proofErr w:type="spellStart"/>
      <w:r>
        <w:t>Bronkowska</w:t>
      </w:r>
      <w:proofErr w:type="spellEnd"/>
      <w:r>
        <w:t xml:space="preserve"> M. Activity–inactivity</w:t>
      </w:r>
      <w:r>
        <w:rPr>
          <w:rFonts w:hint="cs"/>
          <w:rtl/>
        </w:rPr>
        <w:t xml:space="preserve"> </w:t>
      </w:r>
      <w:r>
        <w:t>patterns, screen time, and physical activity: the association with over</w:t>
      </w:r>
      <w:r>
        <w:rPr>
          <w:rFonts w:ascii="Cambria Math" w:hAnsi="Cambria Math" w:cs="Cambria Math"/>
        </w:rPr>
        <w:t>‑</w:t>
      </w:r>
      <w:r>
        <w:t xml:space="preserve">weight, central obesity and muscle strength in Polish teenagers. </w:t>
      </w:r>
      <w:proofErr w:type="spellStart"/>
      <w:r>
        <w:t>eport</w:t>
      </w:r>
      <w:proofErr w:type="spellEnd"/>
    </w:p>
    <w:p w14:paraId="6E5F4AE4" w14:textId="0F91B570" w:rsidR="00E27D2D" w:rsidRDefault="00E27D2D" w:rsidP="00E27D2D">
      <w:pPr>
        <w:rPr>
          <w:rtl/>
        </w:rPr>
      </w:pPr>
      <w:r>
        <w:t>from the ABC of healthy eating study. Int J Environ Res Public Health.</w:t>
      </w:r>
      <w:r>
        <w:rPr>
          <w:rtl/>
        </w:rPr>
        <w:t>2020</w:t>
      </w:r>
      <w:r>
        <w:t>;17(21):1–21.</w:t>
      </w:r>
    </w:p>
    <w:p w14:paraId="4BD4354D" w14:textId="2FD6DC4A" w:rsidR="00E27D2D" w:rsidRDefault="00E27D2D" w:rsidP="00E27D2D">
      <w:pPr>
        <w:rPr>
          <w:rtl/>
        </w:rPr>
      </w:pPr>
      <w:r>
        <w:rPr>
          <w:rtl/>
        </w:rPr>
        <w:t>2</w:t>
      </w:r>
      <w:r>
        <w:t>. Tang D, Bu T, Liu Y, Dong X. The impact of mothers’ dietary pat</w:t>
      </w:r>
      <w:r>
        <w:rPr>
          <w:rFonts w:ascii="Cambria Math" w:hAnsi="Cambria Math" w:cs="Cambria Math"/>
        </w:rPr>
        <w:t>‑</w:t>
      </w:r>
      <w:r>
        <w:t xml:space="preserve">terns on children’s nutritional status in China. Am J Health </w:t>
      </w:r>
      <w:proofErr w:type="spellStart"/>
      <w:r>
        <w:t>Behav</w:t>
      </w:r>
      <w:proofErr w:type="spellEnd"/>
      <w:r>
        <w:t>.</w:t>
      </w:r>
      <w:r>
        <w:rPr>
          <w:rtl/>
        </w:rPr>
        <w:t>2020</w:t>
      </w:r>
      <w:r>
        <w:t>;44(5):719–31.</w:t>
      </w:r>
    </w:p>
    <w:p w14:paraId="7002718F" w14:textId="71BB08CD" w:rsidR="00E27D2D" w:rsidRDefault="00E27D2D" w:rsidP="00E27D2D">
      <w:r>
        <w:rPr>
          <w:rtl/>
        </w:rPr>
        <w:t>3</w:t>
      </w:r>
      <w:r>
        <w:t xml:space="preserve">. </w:t>
      </w:r>
      <w:proofErr w:type="spellStart"/>
      <w:r>
        <w:t>Farhangi</w:t>
      </w:r>
      <w:proofErr w:type="spellEnd"/>
      <w:r>
        <w:t xml:space="preserve"> MA, </w:t>
      </w:r>
      <w:proofErr w:type="spellStart"/>
      <w:r>
        <w:t>Jahangiry</w:t>
      </w:r>
      <w:proofErr w:type="spellEnd"/>
      <w:r>
        <w:t xml:space="preserve"> L, </w:t>
      </w:r>
      <w:proofErr w:type="spellStart"/>
      <w:r>
        <w:t>Asghari</w:t>
      </w:r>
      <w:r>
        <w:rPr>
          <w:rFonts w:ascii="Cambria Math" w:hAnsi="Cambria Math" w:cs="Cambria Math"/>
        </w:rPr>
        <w:t>‑</w:t>
      </w:r>
      <w:r>
        <w:t>Jafarabadi</w:t>
      </w:r>
      <w:proofErr w:type="spellEnd"/>
      <w:r>
        <w:t xml:space="preserve"> M, Najafi M. Association</w:t>
      </w:r>
      <w:r>
        <w:rPr>
          <w:rFonts w:hint="cs"/>
          <w:rtl/>
        </w:rPr>
        <w:t xml:space="preserve"> </w:t>
      </w:r>
      <w:r>
        <w:t xml:space="preserve">between dietary patterns and metabolic syndrome in a sample of </w:t>
      </w:r>
      <w:proofErr w:type="spellStart"/>
      <w:r>
        <w:t>Tehra</w:t>
      </w:r>
      <w:r>
        <w:rPr>
          <w:rFonts w:ascii="Cambria Math" w:hAnsi="Cambria Math" w:cs="Cambria Math"/>
        </w:rPr>
        <w:t>‑</w:t>
      </w:r>
      <w:r>
        <w:t>nian</w:t>
      </w:r>
      <w:proofErr w:type="spellEnd"/>
      <w:r>
        <w:t xml:space="preserve"> adults. </w:t>
      </w:r>
      <w:proofErr w:type="spellStart"/>
      <w:r>
        <w:t>Obes</w:t>
      </w:r>
      <w:proofErr w:type="spellEnd"/>
      <w:r>
        <w:t xml:space="preserve"> Res Clin </w:t>
      </w:r>
      <w:proofErr w:type="spellStart"/>
      <w:r>
        <w:t>Pract</w:t>
      </w:r>
      <w:proofErr w:type="spellEnd"/>
      <w:r>
        <w:t>. 2016;</w:t>
      </w:r>
      <w:proofErr w:type="gramStart"/>
      <w:r>
        <w:t>10:S</w:t>
      </w:r>
      <w:proofErr w:type="gramEnd"/>
      <w:r>
        <w:t>64–73.</w:t>
      </w:r>
    </w:p>
    <w:p w14:paraId="7C984BAC" w14:textId="7C132443" w:rsidR="00E27D2D" w:rsidRPr="0066027C" w:rsidRDefault="00E27D2D" w:rsidP="00E27D2D">
      <w:r>
        <w:rPr>
          <w:rtl/>
        </w:rPr>
        <w:t>4</w:t>
      </w:r>
      <w:r>
        <w:t>. World Health Organization, Global Recommendations on Physical Activity</w:t>
      </w:r>
      <w:r>
        <w:rPr>
          <w:rFonts w:hint="cs"/>
          <w:rtl/>
        </w:rPr>
        <w:t xml:space="preserve"> </w:t>
      </w:r>
      <w:r>
        <w:t>for Health. 2010, Genève, Switzerland</w:t>
      </w:r>
      <w:r>
        <w:rPr>
          <w:rtl/>
        </w:rPr>
        <w:t>.</w:t>
      </w:r>
    </w:p>
    <w:sectPr w:rsidR="00E27D2D" w:rsidRPr="0066027C" w:rsidSect="005A6AD7">
      <w:headerReference w:type="default" r:id="rId8"/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ED2CC" w14:textId="77777777" w:rsidR="001143FF" w:rsidRDefault="001143FF" w:rsidP="00AA6739">
      <w:pPr>
        <w:spacing w:after="0" w:line="240" w:lineRule="auto"/>
      </w:pPr>
      <w:r>
        <w:separator/>
      </w:r>
    </w:p>
  </w:endnote>
  <w:endnote w:type="continuationSeparator" w:id="0">
    <w:p w14:paraId="0862F192" w14:textId="77777777" w:rsidR="001143FF" w:rsidRDefault="001143FF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3F4EB" w14:textId="77777777" w:rsidR="001143FF" w:rsidRDefault="001143FF" w:rsidP="00AA6739">
      <w:pPr>
        <w:spacing w:after="0" w:line="240" w:lineRule="auto"/>
      </w:pPr>
      <w:r>
        <w:separator/>
      </w:r>
    </w:p>
  </w:footnote>
  <w:footnote w:type="continuationSeparator" w:id="0">
    <w:p w14:paraId="44F45651" w14:textId="77777777" w:rsidR="001143FF" w:rsidRDefault="001143FF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56447">
    <w:abstractNumId w:val="3"/>
  </w:num>
  <w:num w:numId="2" w16cid:durableId="434204563">
    <w:abstractNumId w:val="8"/>
  </w:num>
  <w:num w:numId="3" w16cid:durableId="186450943">
    <w:abstractNumId w:val="5"/>
  </w:num>
  <w:num w:numId="4" w16cid:durableId="1463766210">
    <w:abstractNumId w:val="4"/>
  </w:num>
  <w:num w:numId="5" w16cid:durableId="796679159">
    <w:abstractNumId w:val="7"/>
  </w:num>
  <w:num w:numId="6" w16cid:durableId="1259367621">
    <w:abstractNumId w:val="10"/>
  </w:num>
  <w:num w:numId="7" w16cid:durableId="489322551">
    <w:abstractNumId w:val="9"/>
  </w:num>
  <w:num w:numId="8" w16cid:durableId="2071032043">
    <w:abstractNumId w:val="0"/>
  </w:num>
  <w:num w:numId="9" w16cid:durableId="977032044">
    <w:abstractNumId w:val="1"/>
  </w:num>
  <w:num w:numId="10" w16cid:durableId="1246109591">
    <w:abstractNumId w:val="6"/>
  </w:num>
  <w:num w:numId="11" w16cid:durableId="696321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05BB"/>
    <w:rsid w:val="006635FC"/>
    <w:rsid w:val="0067709B"/>
    <w:rsid w:val="006B6DBF"/>
    <w:rsid w:val="006F0B76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2319F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27D2D"/>
    <w:rsid w:val="00E440B7"/>
    <w:rsid w:val="00E44898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customStyle="1" w:styleId="rynqvb">
    <w:name w:val="rynqvb"/>
    <w:basedOn w:val="DefaultParagraphFont"/>
    <w:rsid w:val="00E440B7"/>
  </w:style>
  <w:style w:type="character" w:customStyle="1" w:styleId="hwtze">
    <w:name w:val="hwtze"/>
    <w:basedOn w:val="DefaultParagraphFont"/>
    <w:rsid w:val="00E44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88F9-ED52-4194-A219-5D836275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dga</cp:lastModifiedBy>
  <cp:revision>2</cp:revision>
  <cp:lastPrinted>2024-11-24T08:04:00Z</cp:lastPrinted>
  <dcterms:created xsi:type="dcterms:W3CDTF">2026-06-08T16:00:00Z</dcterms:created>
  <dcterms:modified xsi:type="dcterms:W3CDTF">2026-06-08T16:00:00Z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